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E65BDE" w:rsidRDefault="009B4B7E" w:rsidP="007C1FCB">
      <w:pPr>
        <w:spacing w:after="0" w:line="240" w:lineRule="auto"/>
        <w:jc w:val="both"/>
        <w:rPr>
          <w:b/>
          <w:sz w:val="28"/>
          <w:szCs w:val="28"/>
        </w:rPr>
      </w:pPr>
      <w:r w:rsidRPr="00E65BDE">
        <w:rPr>
          <w:b/>
          <w:sz w:val="28"/>
          <w:szCs w:val="28"/>
        </w:rPr>
        <w:t>SST B-</w:t>
      </w:r>
      <w:r w:rsidR="00BF2869">
        <w:rPr>
          <w:b/>
          <w:sz w:val="28"/>
          <w:szCs w:val="28"/>
        </w:rPr>
        <w:t>1</w:t>
      </w:r>
      <w:r w:rsidR="0074503A">
        <w:rPr>
          <w:b/>
          <w:sz w:val="28"/>
          <w:szCs w:val="28"/>
        </w:rPr>
        <w:t>4</w:t>
      </w:r>
      <w:r w:rsidRPr="00E65BDE">
        <w:rPr>
          <w:b/>
          <w:sz w:val="28"/>
          <w:szCs w:val="28"/>
        </w:rPr>
        <w:t xml:space="preserve"> </w:t>
      </w:r>
      <w:r w:rsidR="0074503A">
        <w:rPr>
          <w:b/>
          <w:sz w:val="28"/>
          <w:szCs w:val="28"/>
        </w:rPr>
        <w:t>RO</w:t>
      </w:r>
      <w:bookmarkStart w:id="0" w:name="_GoBack"/>
      <w:bookmarkEnd w:id="0"/>
      <w:r w:rsidR="0074503A">
        <w:rPr>
          <w:b/>
          <w:sz w:val="28"/>
          <w:szCs w:val="28"/>
        </w:rPr>
        <w:t>BOTY MALARSKIE</w:t>
      </w:r>
    </w:p>
    <w:p w:rsidR="009B4B7E" w:rsidRPr="00E65BDE" w:rsidRDefault="009B4B7E" w:rsidP="007C1FCB">
      <w:pPr>
        <w:spacing w:after="0" w:line="240" w:lineRule="auto"/>
        <w:jc w:val="both"/>
      </w:pPr>
      <w:r w:rsidRPr="00E65BDE">
        <w:t xml:space="preserve">kod CPV </w:t>
      </w:r>
      <w:r w:rsidR="000172D3">
        <w:t>45431000-7</w:t>
      </w:r>
    </w:p>
    <w:p w:rsidR="009B4B7E" w:rsidRPr="00E65BDE" w:rsidRDefault="009B4B7E" w:rsidP="007C1FCB">
      <w:pPr>
        <w:spacing w:after="0" w:line="240" w:lineRule="auto"/>
        <w:jc w:val="both"/>
      </w:pPr>
    </w:p>
    <w:p w:rsidR="009B4B7E" w:rsidRPr="00E65BDE" w:rsidRDefault="009B4B7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WSTĘP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9B4B7E" w:rsidRPr="00E65BDE" w:rsidRDefault="009B4B7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Przedmiot specyfikacji technicznej (ST)</w:t>
      </w:r>
    </w:p>
    <w:p w:rsidR="00A77E77" w:rsidRPr="00A77E77" w:rsidRDefault="009B4B7E" w:rsidP="00A77E77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Przedmiotem niniejszej Specyfikacji Technicznej (ST) są wymagania dotyczące wykonania </w:t>
      </w:r>
      <w:r w:rsidR="00363D57" w:rsidRPr="00E65BDE">
        <w:rPr>
          <w:sz w:val="20"/>
          <w:szCs w:val="20"/>
        </w:rPr>
        <w:t xml:space="preserve">i odbioru </w:t>
      </w:r>
      <w:r w:rsidR="00E65BDE">
        <w:rPr>
          <w:sz w:val="20"/>
          <w:szCs w:val="20"/>
        </w:rPr>
        <w:t xml:space="preserve">robót </w:t>
      </w:r>
      <w:r w:rsidR="000172D3">
        <w:rPr>
          <w:sz w:val="20"/>
          <w:szCs w:val="20"/>
        </w:rPr>
        <w:t xml:space="preserve">w zakresie </w:t>
      </w:r>
      <w:r w:rsidR="00C97CD5">
        <w:rPr>
          <w:sz w:val="20"/>
          <w:szCs w:val="20"/>
        </w:rPr>
        <w:t>robót malarskich</w:t>
      </w:r>
      <w:r w:rsidR="00451FF1">
        <w:rPr>
          <w:sz w:val="20"/>
          <w:szCs w:val="20"/>
        </w:rPr>
        <w:t xml:space="preserve"> </w:t>
      </w:r>
      <w:r w:rsidR="00011E34">
        <w:rPr>
          <w:sz w:val="20"/>
          <w:szCs w:val="20"/>
        </w:rPr>
        <w:t>w ramach zadania pn.:</w:t>
      </w:r>
      <w:r w:rsidR="00011E34" w:rsidRPr="00690024">
        <w:rPr>
          <w:sz w:val="20"/>
          <w:szCs w:val="20"/>
        </w:rPr>
        <w:t xml:space="preserve"> </w:t>
      </w:r>
      <w:r w:rsidR="00A77E77" w:rsidRPr="00E65BDE">
        <w:rPr>
          <w:sz w:val="20"/>
          <w:szCs w:val="20"/>
        </w:rPr>
        <w:t>„</w:t>
      </w:r>
      <w:r w:rsidR="00A77E77">
        <w:rPr>
          <w:b/>
          <w:sz w:val="20"/>
          <w:szCs w:val="20"/>
        </w:rPr>
        <w:t xml:space="preserve">Projekt wentylacji mechanicznej w Inspektoracie ZUS </w:t>
      </w:r>
      <w:r w:rsidR="00A77E77">
        <w:rPr>
          <w:b/>
          <w:sz w:val="20"/>
          <w:szCs w:val="20"/>
        </w:rPr>
        <w:br/>
        <w:t>w Raciborzu”</w:t>
      </w:r>
    </w:p>
    <w:p w:rsidR="007E37AE" w:rsidRPr="00E65BDE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7E37A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zastosowania ST</w:t>
      </w:r>
    </w:p>
    <w:p w:rsidR="004F1F80" w:rsidRPr="00E65BDE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Default="00F37DE1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F37DE1">
        <w:rPr>
          <w:sz w:val="20"/>
          <w:szCs w:val="20"/>
        </w:rPr>
        <w:t xml:space="preserve">Ustalenia zawarte w niniejszej specyfikacji obejmują wszystkie czynności umożliwiające i mające na celu wykonanie wszystkich robót </w:t>
      </w:r>
      <w:r w:rsidR="00C97CD5">
        <w:rPr>
          <w:sz w:val="20"/>
          <w:szCs w:val="20"/>
        </w:rPr>
        <w:t>malarskich</w:t>
      </w:r>
      <w:r w:rsidRPr="00F37DE1">
        <w:rPr>
          <w:sz w:val="20"/>
          <w:szCs w:val="20"/>
        </w:rPr>
        <w:t xml:space="preserve"> przewidzianych w projekcie budowy budynków. Obejmuje prace związane z dostawą materiałów, wy</w:t>
      </w:r>
      <w:r w:rsidR="00C97CD5">
        <w:rPr>
          <w:sz w:val="20"/>
          <w:szCs w:val="20"/>
        </w:rPr>
        <w:t>konaniem i wykończeniem robót malarskich</w:t>
      </w:r>
    </w:p>
    <w:p w:rsidR="00F37DE1" w:rsidRPr="00E65BDE" w:rsidRDefault="00F37DE1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E65BDE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Zakres robót objętych ST</w:t>
      </w:r>
    </w:p>
    <w:p w:rsidR="004F1F80" w:rsidRPr="00E65BDE" w:rsidRDefault="004920F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Roboty. których dotyczy Specyfikacja, obejmują wszystkie czynności umożliwia</w:t>
      </w:r>
      <w:r w:rsidR="003F3E96">
        <w:rPr>
          <w:sz w:val="20"/>
          <w:szCs w:val="20"/>
        </w:rPr>
        <w:t>jące i mające na celu wykonanie</w:t>
      </w:r>
      <w:r w:rsidR="00B42B64">
        <w:rPr>
          <w:sz w:val="20"/>
          <w:szCs w:val="20"/>
        </w:rPr>
        <w:t xml:space="preserve"> następujących prac</w:t>
      </w:r>
      <w:r w:rsidR="00942409" w:rsidRPr="00E65BDE">
        <w:rPr>
          <w:sz w:val="20"/>
          <w:szCs w:val="20"/>
        </w:rPr>
        <w:t>:</w:t>
      </w:r>
    </w:p>
    <w:p w:rsidR="003A13FE" w:rsidRDefault="003A13FE" w:rsidP="00E94E1A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malowanie starych tynków na ścianach i sufitach z uprzednim przygotowaniem podłoża,</w:t>
      </w:r>
    </w:p>
    <w:p w:rsidR="009E4BF8" w:rsidRDefault="009E4BF8" w:rsidP="00F37DE1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37DE1" w:rsidRPr="00094ED2" w:rsidRDefault="00F37DE1" w:rsidP="00F37DE1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94ED2">
        <w:rPr>
          <w:rFonts w:ascii="Arial" w:hAnsi="Arial" w:cs="Arial"/>
          <w:sz w:val="20"/>
          <w:szCs w:val="20"/>
        </w:rPr>
        <w:t>S</w:t>
      </w:r>
      <w:r w:rsidRPr="00F37DE1">
        <w:rPr>
          <w:sz w:val="20"/>
          <w:szCs w:val="20"/>
        </w:rPr>
        <w:t>zczegółowy zakres rzeczowy i ilościowy prac według przedmiarów oraz dokumentacji projektowej</w:t>
      </w:r>
    </w:p>
    <w:p w:rsidR="0096503D" w:rsidRDefault="0096503D" w:rsidP="0096503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C97CD5" w:rsidRDefault="00C97CD5" w:rsidP="00C97CD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 dotyczące robót</w:t>
      </w:r>
    </w:p>
    <w:p w:rsidR="0062513D" w:rsidRPr="0062513D" w:rsidRDefault="0062513D" w:rsidP="0062513D">
      <w:pPr>
        <w:spacing w:after="0" w:line="240" w:lineRule="auto"/>
        <w:ind w:left="426"/>
        <w:jc w:val="both"/>
        <w:rPr>
          <w:sz w:val="20"/>
          <w:szCs w:val="20"/>
        </w:rPr>
      </w:pPr>
      <w:r w:rsidRPr="0062513D">
        <w:rPr>
          <w:sz w:val="20"/>
          <w:szCs w:val="20"/>
        </w:rPr>
        <w:t>Specyfikacja dotyczy wykonania malowania wewnętrznego obiektów budowlanych nie narażonych na agresję chemiczną i obejmuje wykonanie następujących czynności:</w:t>
      </w:r>
    </w:p>
    <w:p w:rsidR="0062513D" w:rsidRPr="0062513D" w:rsidRDefault="0062513D" w:rsidP="0062513D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62513D">
        <w:rPr>
          <w:sz w:val="20"/>
          <w:szCs w:val="20"/>
        </w:rPr>
        <w:t>przygotowanie podłoża</w:t>
      </w:r>
    </w:p>
    <w:p w:rsidR="0062513D" w:rsidRPr="0062513D" w:rsidRDefault="0062513D" w:rsidP="0062513D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0"/>
          <w:szCs w:val="20"/>
        </w:rPr>
      </w:pPr>
      <w:r w:rsidRPr="0062513D">
        <w:rPr>
          <w:sz w:val="20"/>
          <w:szCs w:val="20"/>
        </w:rPr>
        <w:t>wykonanie powłok malarskich.</w:t>
      </w:r>
    </w:p>
    <w:p w:rsidR="0062513D" w:rsidRPr="0062513D" w:rsidRDefault="0062513D" w:rsidP="0062513D">
      <w:pPr>
        <w:spacing w:after="0" w:line="240" w:lineRule="auto"/>
        <w:ind w:left="426"/>
        <w:jc w:val="both"/>
        <w:rPr>
          <w:sz w:val="20"/>
          <w:szCs w:val="20"/>
        </w:rPr>
      </w:pPr>
      <w:r w:rsidRPr="0062513D">
        <w:rPr>
          <w:sz w:val="20"/>
          <w:szCs w:val="20"/>
        </w:rPr>
        <w:t>Przedmiotem specyfikacji jest określenie wymagań odnośnie właściwości materiałów wykorzystywanych do robót malarskich, wymagań i sposobów oceny podłoży, wymagań dotyczących wykonania powłok malarskich wewnętrznych i zewnętrznych powierzchni obiektów oraz ich odbiorów.</w:t>
      </w:r>
    </w:p>
    <w:p w:rsidR="00C97CD5" w:rsidRDefault="00C97CD5" w:rsidP="0096503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F37DE1" w:rsidRDefault="00F37DE1" w:rsidP="00F37DE1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Określenia podstawowe</w:t>
      </w:r>
    </w:p>
    <w:p w:rsidR="00082FF0" w:rsidRDefault="00082FF0" w:rsidP="00082FF0">
      <w:pPr>
        <w:spacing w:after="0" w:line="240" w:lineRule="auto"/>
        <w:ind w:left="426"/>
        <w:jc w:val="both"/>
        <w:rPr>
          <w:sz w:val="20"/>
          <w:szCs w:val="20"/>
        </w:rPr>
      </w:pPr>
      <w:r w:rsidRPr="00082FF0">
        <w:rPr>
          <w:sz w:val="20"/>
          <w:szCs w:val="20"/>
        </w:rPr>
        <w:t xml:space="preserve">Określenia podane w niniejszej SST są zgodne z obowiązującymi odpowiednimi normami. </w:t>
      </w:r>
    </w:p>
    <w:p w:rsidR="00082FF0" w:rsidRPr="00082FF0" w:rsidRDefault="00082FF0" w:rsidP="00082FF0">
      <w:pPr>
        <w:spacing w:after="0" w:line="240" w:lineRule="auto"/>
        <w:ind w:left="426"/>
        <w:jc w:val="both"/>
        <w:rPr>
          <w:sz w:val="20"/>
          <w:szCs w:val="20"/>
        </w:rPr>
      </w:pPr>
    </w:p>
    <w:p w:rsidR="00ED33C3" w:rsidRPr="00E65BDE" w:rsidRDefault="00ED33C3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</w:rPr>
        <w:t xml:space="preserve">MATERIAŁY </w:t>
      </w:r>
    </w:p>
    <w:p w:rsidR="00106B88" w:rsidRPr="00E65BDE" w:rsidRDefault="002777E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22ACA" w:rsidRPr="00E65BDE" w:rsidRDefault="002777ED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Ogólne wymagania dotyczące materiałów, ich pozyskiwania i składowania podano w ST Wymagania ogólne w punkcie 2.</w:t>
      </w:r>
      <w:r w:rsidR="00942409" w:rsidRPr="00E65BDE">
        <w:rPr>
          <w:rFonts w:cs="Arial"/>
          <w:sz w:val="20"/>
          <w:szCs w:val="20"/>
        </w:rPr>
        <w:t xml:space="preserve"> </w:t>
      </w:r>
    </w:p>
    <w:p w:rsidR="004851E6" w:rsidRPr="004851E6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851E6">
        <w:rPr>
          <w:rFonts w:cs="Arial"/>
          <w:sz w:val="20"/>
          <w:szCs w:val="20"/>
        </w:rPr>
        <w:t xml:space="preserve">Wykonawca obowiązany jest posiadać na budowie pełną dokumentację dotyczącą składanych na budowie materiałów przeznaczonych do wykonania robót </w:t>
      </w:r>
      <w:r w:rsidR="0062513D">
        <w:rPr>
          <w:rFonts w:cs="Arial"/>
          <w:sz w:val="20"/>
          <w:szCs w:val="20"/>
        </w:rPr>
        <w:t>malarskich</w:t>
      </w:r>
    </w:p>
    <w:p w:rsidR="00422ACA" w:rsidRPr="00E65BDE" w:rsidRDefault="00422ACA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F37DE1" w:rsidRPr="004851E6" w:rsidRDefault="004851E6" w:rsidP="008009C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>Rodzaje materiałów</w:t>
      </w:r>
    </w:p>
    <w:p w:rsidR="004851E6" w:rsidRPr="004851E6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851E6">
        <w:rPr>
          <w:rFonts w:cs="Arial"/>
          <w:sz w:val="20"/>
          <w:szCs w:val="20"/>
        </w:rPr>
        <w:t>Wszystkie materiały do wykonania robót posadzkowych i okładzinowych z płytek powinny odpowiadać wymaganiom zawartym w dokumentach odniesienia (normach, aprobatach technicznych).</w:t>
      </w:r>
    </w:p>
    <w:p w:rsidR="004851E6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851E6" w:rsidRDefault="0062513D" w:rsidP="004851E6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Farba lateksowa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zmywalna, odporna na szorowanie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lepkość 9000-14000</w:t>
      </w:r>
    </w:p>
    <w:p w:rsid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gęstoś</w:t>
      </w:r>
      <w:r w:rsidR="00082FF0">
        <w:rPr>
          <w:rFonts w:cs="Arial"/>
          <w:sz w:val="20"/>
          <w:szCs w:val="20"/>
        </w:rPr>
        <w:t>ć</w:t>
      </w:r>
      <w:r w:rsidRPr="0062513D">
        <w:rPr>
          <w:rFonts w:cs="Arial"/>
          <w:sz w:val="20"/>
          <w:szCs w:val="20"/>
        </w:rPr>
        <w:t xml:space="preserve"> 1,3-1,6 kg/m3</w:t>
      </w:r>
    </w:p>
    <w:p w:rsidR="009E4BF8" w:rsidRPr="0062513D" w:rsidRDefault="009E4BF8" w:rsidP="009E4BF8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</w:p>
    <w:p w:rsidR="004851E6" w:rsidRDefault="0062513D" w:rsidP="004851E6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Gips szpachlowy</w:t>
      </w:r>
    </w:p>
    <w:p w:rsidR="0062513D" w:rsidRDefault="0062513D" w:rsidP="0062513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workowany, gotowy produkt, po zmieszaniu z wodą nadaje się do natychmiastowego użytku</w:t>
      </w:r>
    </w:p>
    <w:p w:rsidR="00A622D2" w:rsidRDefault="00A622D2" w:rsidP="00A622D2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</w:p>
    <w:p w:rsidR="009E4BF8" w:rsidRPr="0062513D" w:rsidRDefault="009E4BF8" w:rsidP="00A622D2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</w:p>
    <w:p w:rsidR="00A622D2" w:rsidRDefault="00A622D2" w:rsidP="00A622D2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Środki gruntujące</w:t>
      </w:r>
    </w:p>
    <w:p w:rsidR="00A622D2" w:rsidRP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Przy malowaniu farbami emulsyjnymi:</w:t>
      </w:r>
    </w:p>
    <w:p w:rsidR="00A622D2" w:rsidRPr="00A622D2" w:rsidRDefault="00A622D2" w:rsidP="00A622D2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powierzchni betonowych lub tynków zwykłych nie zaleca się gruntowania, o ile świadectwo</w:t>
      </w:r>
    </w:p>
    <w:p w:rsidR="00A622D2" w:rsidRPr="00A622D2" w:rsidRDefault="00A622D2" w:rsidP="00A622D2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dopuszczenia nowego rodzaju farby emulsyjnej nie podaje inaczej,</w:t>
      </w:r>
    </w:p>
    <w:p w:rsidR="00A622D2" w:rsidRPr="00A622D2" w:rsidRDefault="00A622D2" w:rsidP="00A622D2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na chłonnych podłożach należy stosować do gruntowania farbę emulsyjną rozcieńczoną wodą w</w:t>
      </w:r>
    </w:p>
    <w:p w:rsidR="00A622D2" w:rsidRPr="00A622D2" w:rsidRDefault="00A622D2" w:rsidP="00A622D2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stosunku 1:3-5 z tego samego rodzaju farby, z jakiej przewiduje się wykonanie powłoki malarskiej.</w:t>
      </w:r>
    </w:p>
    <w:p w:rsidR="00A622D2" w:rsidRP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Przy malowaniu farbami olejnymi i syntetycznymi powierzchnie należy zagruntować rozcieńczonym</w:t>
      </w:r>
    </w:p>
    <w:p w:rsidR="00A622D2" w:rsidRP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pokostem 1:1 (pokost: benzyna lakiernicza).</w:t>
      </w:r>
    </w:p>
    <w:p w:rsidR="00A622D2" w:rsidRP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Mydło szare, stosowane do gruntowania podłoża w celu zmniejszenia jego wsiąkliwości powinno być</w:t>
      </w:r>
    </w:p>
    <w:p w:rsid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A622D2">
        <w:rPr>
          <w:rFonts w:cs="Arial"/>
          <w:sz w:val="20"/>
          <w:szCs w:val="20"/>
        </w:rPr>
        <w:t>stosowane w postaci roztworu wodnego 3-5%.</w:t>
      </w:r>
    </w:p>
    <w:p w:rsidR="00A622D2" w:rsidRPr="00A622D2" w:rsidRDefault="00A622D2" w:rsidP="00A622D2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4851E6" w:rsidRPr="00E65BDE" w:rsidRDefault="004851E6" w:rsidP="004851E6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Woda</w:t>
      </w:r>
    </w:p>
    <w:p w:rsidR="004851E6" w:rsidRPr="004851E6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851E6">
        <w:rPr>
          <w:rFonts w:cs="Arial"/>
          <w:sz w:val="20"/>
          <w:szCs w:val="20"/>
        </w:rPr>
        <w:t xml:space="preserve">Do przygotowania </w:t>
      </w:r>
      <w:r w:rsidR="0062513D">
        <w:rPr>
          <w:rFonts w:cs="Arial"/>
          <w:sz w:val="20"/>
          <w:szCs w:val="20"/>
        </w:rPr>
        <w:t>farb zarabianych wodą</w:t>
      </w:r>
      <w:r w:rsidRPr="004851E6">
        <w:rPr>
          <w:rFonts w:cs="Arial"/>
          <w:sz w:val="20"/>
          <w:szCs w:val="20"/>
        </w:rPr>
        <w:t xml:space="preserve"> należy </w:t>
      </w:r>
      <w:r w:rsidR="0062513D">
        <w:rPr>
          <w:rFonts w:cs="Arial"/>
          <w:sz w:val="20"/>
          <w:szCs w:val="20"/>
        </w:rPr>
        <w:t xml:space="preserve">stosować </w:t>
      </w:r>
      <w:r w:rsidRPr="004851E6">
        <w:rPr>
          <w:rFonts w:cs="Arial"/>
          <w:sz w:val="20"/>
          <w:szCs w:val="20"/>
        </w:rPr>
        <w:t>wodę odpowiadającą wymaganiom normy PN-EN 1008:2004 „Woda zarobowa do betonu.</w:t>
      </w:r>
    </w:p>
    <w:p w:rsidR="004851E6" w:rsidRPr="004851E6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851E6">
        <w:rPr>
          <w:rFonts w:cs="Arial"/>
          <w:sz w:val="20"/>
          <w:szCs w:val="20"/>
        </w:rPr>
        <w:t>Specyfikacja pobierania próbek, badania i ocena przydatności wody zarobowej, do betonu, w tym wody odzyskanej z procesów produkcji betonu”. Bez badań laboratoryjnych może być stosowana wodociągowa woda pitna.</w:t>
      </w:r>
    </w:p>
    <w:p w:rsidR="004851E6" w:rsidRPr="00F37DE1" w:rsidRDefault="004851E6" w:rsidP="004851E6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B1654" w:rsidRDefault="004851E6" w:rsidP="00BB165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Warunki przyjęcia na budowę materiałów i wyrobów </w:t>
      </w:r>
      <w:r w:rsidR="0062513D">
        <w:rPr>
          <w:b/>
          <w:sz w:val="20"/>
          <w:szCs w:val="20"/>
        </w:rPr>
        <w:t>malarskich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Materiały i wyroby do robót malarskich mogą być przyjęte na budowę, jeśli spełniają następujące warunki: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są zgodne z ich wyszczególnieniem i charakterystyką podaną w dokumentacji projektowej i specyfikacji technicznej (szczegółowej),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są właściwie opakowane, firmowo zamknięte (bez oznak naruszenia zamknięć) i oznakowane (pełna nazwa wyrobu, ewentualnie nazwa handlowa oraz symbol handlowy wyrobu),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spełniają wymagane właściwości wskazane odpowiednimi dokumentami odniesienia,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spełniają wymagania wynikające z ich terminu przydatności do użycia (termin zakończenia robót malarskich powinien się kończyć przed zakończeniem podanych na opakowaniach terminów przydatności do stosowania odpowiednich wyrobów).</w:t>
      </w:r>
    </w:p>
    <w:p w:rsidR="00BB1654" w:rsidRDefault="00BB1654" w:rsidP="00BB1654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BB1654" w:rsidRDefault="004851E6" w:rsidP="00BB165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przechowywania materiałów i wyrobów do robót posadzkowych i okładzinowych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Materiały i wyroby do robót malarskich powinny być przechowywane i magazynowane zgodnie z instrukcją producenta oraz wymaganiami odpowiednich dokumentów odniesienia tj. norm bądź aprobat technicznych.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Pomieszczenie magazynowe do przechowywania materiałów i wyrobów opakowanych powinno być kryte, suche oraz zabezpieczone przed zawilgoceniem, opadami atmosferycznymi, przemarznięciem i przed działaniem promieni słonecznych.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Wyroby malarskie konfekcjonowane powinny być przechowywane w oryginalnych, zamkniętych opakowaniach w temperaturze powyżej +</w:t>
      </w:r>
      <w:smartTag w:uri="urn:schemas-microsoft-com:office:smarttags" w:element="metricconverter">
        <w:smartTagPr>
          <w:attr w:name="ProductID" w:val="5ﾰC"/>
        </w:smartTagPr>
        <w:r w:rsidRPr="0062513D">
          <w:rPr>
            <w:rFonts w:cs="Arial"/>
            <w:sz w:val="20"/>
            <w:szCs w:val="20"/>
          </w:rPr>
          <w:t>5°C</w:t>
        </w:r>
      </w:smartTag>
      <w:r w:rsidRPr="0062513D">
        <w:rPr>
          <w:rFonts w:cs="Arial"/>
          <w:sz w:val="20"/>
          <w:szCs w:val="20"/>
        </w:rPr>
        <w:t xml:space="preserve"> a poniżej +</w:t>
      </w:r>
      <w:smartTag w:uri="urn:schemas-microsoft-com:office:smarttags" w:element="metricconverter">
        <w:smartTagPr>
          <w:attr w:name="ProductID" w:val="35ﾰC"/>
        </w:smartTagPr>
        <w:r w:rsidRPr="0062513D">
          <w:rPr>
            <w:rFonts w:cs="Arial"/>
            <w:sz w:val="20"/>
            <w:szCs w:val="20"/>
          </w:rPr>
          <w:t>35°C</w:t>
        </w:r>
      </w:smartTag>
      <w:r w:rsidRPr="0062513D">
        <w:rPr>
          <w:rFonts w:cs="Arial"/>
          <w:sz w:val="20"/>
          <w:szCs w:val="20"/>
        </w:rPr>
        <w:t>. Wyroby pakowane w worki powinny być układane na paletach lub drewnianej wentylowanej podłodze, w ilości warstw nie większej niż 10.</w:t>
      </w:r>
    </w:p>
    <w:p w:rsidR="00082FF0" w:rsidRDefault="0062513D" w:rsidP="00BB1654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</w:t>
      </w:r>
      <w:r w:rsidR="00082FF0">
        <w:rPr>
          <w:rFonts w:cs="Arial"/>
          <w:sz w:val="20"/>
          <w:szCs w:val="20"/>
        </w:rPr>
        <w:t>ce zmienić skład chemiczny wody</w:t>
      </w:r>
    </w:p>
    <w:p w:rsidR="009E4BF8" w:rsidRDefault="009E4BF8" w:rsidP="00BB1654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106B88" w:rsidRPr="00FB0FB0" w:rsidRDefault="00106B88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FB0FB0">
        <w:rPr>
          <w:b/>
        </w:rPr>
        <w:t>SPRZĘT</w:t>
      </w:r>
    </w:p>
    <w:p w:rsidR="004851E6" w:rsidRDefault="004851E6" w:rsidP="004851E6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sprzętu podano w ST Wymagania ogólne w punkcie 3.</w:t>
      </w:r>
    </w:p>
    <w:p w:rsidR="002058F0" w:rsidRDefault="002058F0" w:rsidP="002058F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EF1E94" w:rsidRDefault="00EF1E94" w:rsidP="00EF1E9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Sprzęty i narzędzia do wykonywania robót posadzkowych i okładzinowych</w:t>
      </w:r>
    </w:p>
    <w:p w:rsidR="00EF1E94" w:rsidRPr="00EF1E94" w:rsidRDefault="00EF1E94" w:rsidP="00EF1E94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EF1E94">
        <w:rPr>
          <w:rFonts w:cs="Arial"/>
          <w:sz w:val="20"/>
          <w:szCs w:val="20"/>
        </w:rPr>
        <w:t xml:space="preserve">Do wykonywania robót </w:t>
      </w:r>
      <w:r w:rsidR="0062513D">
        <w:rPr>
          <w:rFonts w:cs="Arial"/>
          <w:sz w:val="20"/>
          <w:szCs w:val="20"/>
        </w:rPr>
        <w:t>malarskich</w:t>
      </w:r>
      <w:r w:rsidRPr="00EF1E94">
        <w:rPr>
          <w:rFonts w:cs="Arial"/>
          <w:sz w:val="20"/>
          <w:szCs w:val="20"/>
        </w:rPr>
        <w:t xml:space="preserve"> należy stosować: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szczotki o sztywnym włosiu lub druciane do czyszczenia podłoża,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 xml:space="preserve">pędzle i wałki, 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lastRenderedPageBreak/>
        <w:t>mieszadła napędzane wiertarką elektryczną oraz pojemniki do przygotowania kompozycji składników farb,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agregaty malarskie ze sprężarkami,</w:t>
      </w:r>
    </w:p>
    <w:p w:rsidR="00EF1E94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drabiny i rusztowania</w:t>
      </w:r>
      <w:r w:rsidRPr="004A0E72">
        <w:rPr>
          <w:rFonts w:ascii="Arial" w:hAnsi="Arial" w:cs="Arial"/>
          <w:bCs/>
          <w:sz w:val="20"/>
        </w:rPr>
        <w:t>.</w:t>
      </w:r>
    </w:p>
    <w:p w:rsidR="0062513D" w:rsidRPr="00EF1E94" w:rsidRDefault="0062513D" w:rsidP="0062513D">
      <w:pPr>
        <w:pStyle w:val="Akapitzlist"/>
        <w:spacing w:after="0" w:line="240" w:lineRule="auto"/>
        <w:ind w:left="1146"/>
        <w:contextualSpacing w:val="0"/>
        <w:jc w:val="both"/>
        <w:rPr>
          <w:rFonts w:cs="Arial"/>
          <w:sz w:val="20"/>
          <w:szCs w:val="20"/>
        </w:rPr>
      </w:pPr>
    </w:p>
    <w:p w:rsidR="00106B88" w:rsidRPr="00E65BDE" w:rsidRDefault="002F3934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TRANSPORT</w:t>
      </w:r>
    </w:p>
    <w:p w:rsidR="00106B88" w:rsidRPr="00E65BDE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wymagania dotyczące transportu podano w ST Wymagania ogólne w punkcie 4.</w:t>
      </w:r>
    </w:p>
    <w:p w:rsidR="007E37AE" w:rsidRPr="00E65BDE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62513D" w:rsidRPr="0062513D" w:rsidRDefault="00EF1E94" w:rsidP="002B72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b/>
          <w:sz w:val="20"/>
          <w:szCs w:val="20"/>
        </w:rPr>
        <w:t xml:space="preserve">Wymagania szczegółowe dotyczące transportu materiałów </w:t>
      </w:r>
    </w:p>
    <w:p w:rsidR="00EF1E94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Transport materiałów do robót malarskich w opakowaniach nie wymaga specjalnych urządzeń i środków transportu. W czasie transportu należy zabezpieczyć przewożone materiały w sposób wykluczający ich zawilgocenie i uszkodzenie opakowań, a w okresie zimowym zabezpieczyć przed zamrożeniem. W przypadku dużych ilości materiałów zalecane jest przewożenie ich na paletach i użycie do załadunku oraz rozładunku urządzeń mechanicznych</w:t>
      </w:r>
      <w:r w:rsidR="00EF1E94" w:rsidRPr="0062513D">
        <w:rPr>
          <w:rFonts w:cs="Arial"/>
          <w:sz w:val="20"/>
          <w:szCs w:val="20"/>
        </w:rPr>
        <w:t>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E65BDE" w:rsidRDefault="007E37A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WYKONANIE ROBÓT</w:t>
      </w:r>
    </w:p>
    <w:p w:rsidR="00725A61" w:rsidRPr="004C271E" w:rsidRDefault="0046157D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E65BDE">
        <w:rPr>
          <w:b/>
          <w:sz w:val="20"/>
          <w:szCs w:val="20"/>
        </w:rPr>
        <w:t>Wy</w:t>
      </w:r>
      <w:r w:rsidR="004C271E">
        <w:rPr>
          <w:b/>
          <w:sz w:val="20"/>
          <w:szCs w:val="20"/>
        </w:rPr>
        <w:t>magania ogólne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C271E">
        <w:rPr>
          <w:sz w:val="20"/>
          <w:szCs w:val="20"/>
        </w:rPr>
        <w:t>Ogólne zasady wykonania robót podano w ST Wymagania ogólne w punkcie 5.</w:t>
      </w:r>
    </w:p>
    <w:p w:rsidR="004C271E" w:rsidRP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E6225" w:rsidRDefault="002058F0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Warunki przystąpienia do robót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Do wykonywania robót malarskich można przystąpić po całkowitym zakończeniu poprzedzających robót budowlanych oraz po przygotowaniu i kontroli podłoży pod malowanie a także kontroli materiałów.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Wewnątrz budynku pierwsze malowanie ścian i sufitów można wykonywać po: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całkowitym ukończeniu robót instalacyjnych, tj. wodociągowych, kanalizacyjnych, centralnego ogrzewania, gazowych, elektrycznych, z wyjątkiem założenia urządzeń sanitarnych (biały montaż) oraz armatury oświetleniowej (gniazdka, wyłączniki itp.),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wykonaniu podłoży pod wykładziny podłogowe,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całkowitym dopasowaniu i wyregulowaniu stolarki, lecz przed oszkleniem okien itp., jeśli stolarka nie została wykończona fabrycznie.</w:t>
      </w:r>
    </w:p>
    <w:p w:rsidR="0062513D" w:rsidRPr="0062513D" w:rsidRDefault="0062513D" w:rsidP="0062513D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Drugie malowanie można wykonywać po: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wykonaniu tzw. białego montażu,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ułożeniu posadzek (z wyjątkiem wykładzin dywanowych i wykładzin z tworzyw sztucznych) z przybiciem listew przyściennych i cokołów,</w:t>
      </w:r>
    </w:p>
    <w:p w:rsidR="0062513D" w:rsidRPr="0062513D" w:rsidRDefault="0062513D" w:rsidP="0062513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62513D">
        <w:rPr>
          <w:rFonts w:cs="Arial"/>
          <w:sz w:val="20"/>
          <w:szCs w:val="20"/>
        </w:rPr>
        <w:t>oszkleniu okien, jeśli nie było to wykonane fabrycznie.</w:t>
      </w:r>
    </w:p>
    <w:p w:rsidR="002058F0" w:rsidRDefault="002058F0" w:rsidP="002058F0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2058F0" w:rsidRDefault="00EF1E94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</w:t>
      </w:r>
      <w:r w:rsidR="0030047F">
        <w:rPr>
          <w:b/>
          <w:sz w:val="20"/>
          <w:szCs w:val="20"/>
        </w:rPr>
        <w:t>magania dotyczące podłoży pod malowanie</w:t>
      </w:r>
    </w:p>
    <w:p w:rsidR="00EF1E94" w:rsidRDefault="0030047F" w:rsidP="00EF1E94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Beton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Powierzchnia powinna być oczyszczona z odstających grudek związanego betonu.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Wystające lub widoczne elementy metalowe powinny być usunięte lub zabezpieczone farbą antykorozyjną. Uszkodzenia lub rakowate miejsca betonu powinny być naprawione zaprawą cementową lub specjalnymi mieszankami, na które wydano aprobaty techniczne.</w:t>
      </w:r>
    </w:p>
    <w:p w:rsid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Powierzchnia betonu powinna być odkurzona i odtłuszczona.</w:t>
      </w:r>
    </w:p>
    <w:p w:rsidR="00510748" w:rsidRDefault="00510748" w:rsidP="0030047F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EF1E94" w:rsidRDefault="0030047F" w:rsidP="00EF1E94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Tynki zwykłe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Nowe niemalowane tynki powinny odpowiadać wymaganiom określonym w szczegółowej specyfikacji technicznej dla robót tynkowych. Wszelkie uszkodzenia tynków powinny być usunięte przez wypełnienie odpowiednią zaprawą i zatarte do równej powierzchni. Powierzchnia tynków powinna być pozbawiona zanieczyszczeń (np. kurzu, rdzy, tłuszczu, wykwitów solnych).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Wystające lub widoczne nieusuwalne elementy metalowe powinny być zabezpieczone antykorozyjnie.</w:t>
      </w:r>
    </w:p>
    <w:p w:rsidR="002058F0" w:rsidRDefault="002058F0" w:rsidP="002058F0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0047F" w:rsidRDefault="0030047F" w:rsidP="0030047F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Podłoża z płyt gipsowo – kartonowych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Powinny być odkurzone, bez plam tłuszczu i oczyszczone ze starej farby. Wkręty mocujące oraz styki płyt powinny być zaszpachlowane. Uszkodzone fragmenty płyt powinny być naprawione masą szpachlową, na którą wydana jest aprobata techniczna.</w:t>
      </w:r>
    </w:p>
    <w:p w:rsidR="002058F0" w:rsidRDefault="0030047F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Warunki prowadzenia robót malarskich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Roboty malarskie powinny być prowadzone: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w temperaturze nie niższej niż +</w:t>
      </w:r>
      <w:smartTag w:uri="urn:schemas-microsoft-com:office:smarttags" w:element="metricconverter">
        <w:smartTagPr>
          <w:attr w:name="ProductID" w:val="5ﾰC"/>
        </w:smartTagPr>
        <w:r w:rsidRPr="0030047F">
          <w:rPr>
            <w:rFonts w:cs="Arial"/>
            <w:sz w:val="20"/>
            <w:szCs w:val="20"/>
          </w:rPr>
          <w:t>5°C</w:t>
        </w:r>
      </w:smartTag>
      <w:r w:rsidRPr="0030047F">
        <w:rPr>
          <w:rFonts w:cs="Arial"/>
          <w:sz w:val="20"/>
          <w:szCs w:val="20"/>
        </w:rPr>
        <w:t xml:space="preserve">, z dodatkowym zastrzeżeniem, że w ciągu doby nie nastąpi spadek temperatury poniżej </w:t>
      </w:r>
      <w:smartTag w:uri="urn:schemas-microsoft-com:office:smarttags" w:element="metricconverter">
        <w:smartTagPr>
          <w:attr w:name="ProductID" w:val="0ﾰC"/>
        </w:smartTagPr>
        <w:r w:rsidRPr="0030047F">
          <w:rPr>
            <w:rFonts w:cs="Arial"/>
            <w:sz w:val="20"/>
            <w:szCs w:val="20"/>
          </w:rPr>
          <w:t>0°C</w:t>
        </w:r>
      </w:smartTag>
      <w:r w:rsidRPr="0030047F">
        <w:rPr>
          <w:rFonts w:cs="Arial"/>
          <w:sz w:val="20"/>
          <w:szCs w:val="20"/>
        </w:rPr>
        <w:t>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 xml:space="preserve">w temperaturze nie wyższej niż </w:t>
      </w:r>
      <w:smartTag w:uri="urn:schemas-microsoft-com:office:smarttags" w:element="metricconverter">
        <w:smartTagPr>
          <w:attr w:name="ProductID" w:val="25ﾰC"/>
        </w:smartTagPr>
        <w:r w:rsidRPr="0030047F">
          <w:rPr>
            <w:rFonts w:cs="Arial"/>
            <w:sz w:val="20"/>
            <w:szCs w:val="20"/>
          </w:rPr>
          <w:t>25°C</w:t>
        </w:r>
      </w:smartTag>
      <w:r w:rsidRPr="0030047F">
        <w:rPr>
          <w:rFonts w:cs="Arial"/>
          <w:sz w:val="20"/>
          <w:szCs w:val="20"/>
        </w:rPr>
        <w:t xml:space="preserve">, z dodatkowym zastrzeżeniem, by temperatura podłoża nie przewyższyła </w:t>
      </w:r>
      <w:smartTag w:uri="urn:schemas-microsoft-com:office:smarttags" w:element="metricconverter">
        <w:smartTagPr>
          <w:attr w:name="ProductID" w:val="20ﾰC"/>
        </w:smartTagPr>
        <w:r w:rsidRPr="0030047F">
          <w:rPr>
            <w:rFonts w:cs="Arial"/>
            <w:sz w:val="20"/>
            <w:szCs w:val="20"/>
          </w:rPr>
          <w:t>20°C</w:t>
        </w:r>
      </w:smartTag>
      <w:r w:rsidRPr="0030047F">
        <w:rPr>
          <w:rFonts w:cs="Arial"/>
          <w:sz w:val="20"/>
          <w:szCs w:val="20"/>
        </w:rPr>
        <w:t xml:space="preserve"> (np. w miejscach bardzo nasłonecznionych ).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 xml:space="preserve">Roboty malarskie można rozpocząć, jeżeli wilgotność podłoży przewidzianych pod malowanie nie przekracza odpowiednich wartości 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Przy wykonywaniu prac malarskich w pomieszczeniach zamkniętych należy zapewnić odpowiednią wentylację.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Elementy, które w czasie robót malarskich mogą ulec uszkodzeniu lub zanieczyszczeniu, należy zabezpieczyć i osłonić przez zabrudzeniem farbami.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Prace malarskie należy prowadzić zgodnie z instrukcją producenta farb.</w:t>
      </w:r>
    </w:p>
    <w:p w:rsid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0047F" w:rsidRDefault="0030047F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dotyczące powłok malarskich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równomiernie pokrywać podłoża, bez prześwitów, plam i odprysków,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nie ścierać się i nie obsypywać przy potarciu miękką tkaniną bawełnianą,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nie mieć śladów pędzla,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w zakresie barwy i połysku być zgodne z wzorcem producenta oraz dokumentacją projektową,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 xml:space="preserve">być odporne na zmywanie wodą 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nie mieć przykrego zapachu.</w:t>
      </w:r>
    </w:p>
    <w:p w:rsidR="0030047F" w:rsidRP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30047F">
        <w:rPr>
          <w:sz w:val="20"/>
          <w:szCs w:val="20"/>
        </w:rPr>
        <w:t>Dopuszcza się w tego rodzaju powłokach: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>chropowatość powłoki odpowiadają rodzajowi faktury pokrywanego podłoża,</w:t>
      </w:r>
    </w:p>
    <w:p w:rsidR="0030047F" w:rsidRPr="0030047F" w:rsidRDefault="0030047F" w:rsidP="0030047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30047F">
        <w:rPr>
          <w:rFonts w:cs="Arial"/>
          <w:sz w:val="20"/>
          <w:szCs w:val="20"/>
        </w:rPr>
        <w:t xml:space="preserve">odchylenia do </w:t>
      </w:r>
      <w:smartTag w:uri="urn:schemas-microsoft-com:office:smarttags" w:element="metricconverter">
        <w:smartTagPr>
          <w:attr w:name="ProductID" w:val="2 mm"/>
        </w:smartTagPr>
        <w:r w:rsidRPr="0030047F">
          <w:rPr>
            <w:rFonts w:cs="Arial"/>
            <w:sz w:val="20"/>
            <w:szCs w:val="20"/>
          </w:rPr>
          <w:t>2 mm</w:t>
        </w:r>
      </w:smartTag>
      <w:r w:rsidRPr="0030047F">
        <w:rPr>
          <w:rFonts w:cs="Arial"/>
          <w:sz w:val="20"/>
          <w:szCs w:val="20"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 w:rsidRPr="0030047F">
          <w:rPr>
            <w:rFonts w:cs="Arial"/>
            <w:sz w:val="20"/>
            <w:szCs w:val="20"/>
          </w:rPr>
          <w:t>1 m</w:t>
        </w:r>
      </w:smartTag>
      <w:r w:rsidRPr="0030047F">
        <w:rPr>
          <w:rFonts w:cs="Arial"/>
          <w:sz w:val="20"/>
          <w:szCs w:val="20"/>
        </w:rPr>
        <w:t xml:space="preserve"> oraz do </w:t>
      </w:r>
      <w:smartTag w:uri="urn:schemas-microsoft-com:office:smarttags" w:element="metricconverter">
        <w:smartTagPr>
          <w:attr w:name="ProductID" w:val="3 mm"/>
        </w:smartTagPr>
        <w:r w:rsidRPr="0030047F">
          <w:rPr>
            <w:rFonts w:cs="Arial"/>
            <w:sz w:val="20"/>
            <w:szCs w:val="20"/>
          </w:rPr>
          <w:t>3 mm</w:t>
        </w:r>
      </w:smartTag>
      <w:r w:rsidRPr="0030047F">
        <w:rPr>
          <w:rFonts w:cs="Arial"/>
          <w:sz w:val="20"/>
          <w:szCs w:val="20"/>
        </w:rPr>
        <w:t xml:space="preserve"> na całej długości na liniach styku odmiennych barw,</w:t>
      </w:r>
    </w:p>
    <w:p w:rsidR="0030047F" w:rsidRDefault="0030047F" w:rsidP="0030047F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F2C05" w:rsidRPr="00E65BDE" w:rsidRDefault="008F2C05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KONTROLA JAKOŚCI</w:t>
      </w:r>
    </w:p>
    <w:p w:rsidR="008F2C05" w:rsidRPr="00E65BDE" w:rsidRDefault="000A02FA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Wymagania ogólne</w:t>
      </w:r>
    </w:p>
    <w:p w:rsidR="000A02FA" w:rsidRDefault="000A02FA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kontroli jakości podano w ST Warunki ogólne w punkcie 6</w:t>
      </w:r>
    </w:p>
    <w:p w:rsidR="00082FF0" w:rsidRPr="00E65BDE" w:rsidRDefault="00082FF0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B8311A" w:rsidRDefault="000153DA" w:rsidP="00B8311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Badania </w:t>
      </w:r>
      <w:r w:rsidR="00A55CDA">
        <w:rPr>
          <w:b/>
          <w:sz w:val="20"/>
          <w:szCs w:val="20"/>
        </w:rPr>
        <w:t>przed przystąpieniem do robót</w:t>
      </w:r>
    </w:p>
    <w:p w:rsid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Przed przystąpieniem do robót malarskich należy przeprowadzić badanie podłoży oraz materiałów, które będą wykorzystywane do wykonywania robót.</w:t>
      </w:r>
    </w:p>
    <w:p w:rsidR="006845AB" w:rsidRPr="009122A0" w:rsidRDefault="006845AB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122A0" w:rsidRDefault="009122A0" w:rsidP="009122A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podłoży pod malowanie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Badanie podłoża pod malowanie, w zależności od jego rodzaju, należy wykonywać w następujących terminach: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dla podłoża betonowego nie wcześniej niż po 4 tygodniach od daty jego wykonania,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dla pozostałych podłoży, po otrzymaniu protokołu z ich przyjęcia.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Badanie podłoża powinno być przeprowadzane po zamocowaniu i wbudowaniu wszystkich elementów przeznaczonych do malowania.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Kontrolą powinny być objęte w przypadku: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podłoży betonowych – dokładność i zgodność wykonania z projektem budowlanym oraz szczegółową specyfikacją techniczną robót betonowych, czystość powierzchni, wykonanie napraw i uzupełnień, wilgotność podłoża, zabezpieczenie elementów metalowych,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tynków zwykłych i pocienionych – zgodność z projektem, równość i wygląd powierzchni z uwzględnieniem wymagań określonych w szczegółowej specyfikacji technicznej robót tynkowych, czystość powierzchni, wykonanie napraw i uzupełnień, zabezpieczenie elementów metalowych, wilgotność tynku,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płyt gipsowo-kartonowych i włóknisto-mineralnych – wilgotność, wygląd i czystość powierzchni, wykonanie napraw i uzupełnień, wykończenie styków oraz zabezpieczenie wkrętów,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Równość powierzchni tynków należy sprawdzać metodami podanymi w szczegółowej specyfikacji technicznej robót tynkowych.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 xml:space="preserve">Wygląd powierzchni podłoży należy oceniać wizualnie, z odległości około </w:t>
      </w:r>
      <w:smartTag w:uri="urn:schemas-microsoft-com:office:smarttags" w:element="metricconverter">
        <w:smartTagPr>
          <w:attr w:name="ProductID" w:val="1 m"/>
        </w:smartTagPr>
        <w:r w:rsidRPr="009122A0">
          <w:rPr>
            <w:sz w:val="20"/>
            <w:szCs w:val="20"/>
          </w:rPr>
          <w:t>1 m</w:t>
        </w:r>
      </w:smartTag>
      <w:r w:rsidRPr="009122A0">
        <w:rPr>
          <w:sz w:val="20"/>
          <w:szCs w:val="20"/>
        </w:rPr>
        <w:t>, w rozproszonym świetle dziennym lub sztucznym.</w:t>
      </w:r>
    </w:p>
    <w:p w:rsid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lastRenderedPageBreak/>
        <w:t xml:space="preserve">Zapylenie powierzchni należy oceniać przez przetarcie powierzchni suchą, czystą ręką. Wilgotność podłoży należy oceniać przy użyciu odpowiednich przyrządów. W przypadku wątpliwości należy pobrać próbkę podłoża i określić wilgotność metodą </w:t>
      </w:r>
      <w:proofErr w:type="spellStart"/>
      <w:r w:rsidRPr="009122A0">
        <w:rPr>
          <w:sz w:val="20"/>
          <w:szCs w:val="20"/>
        </w:rPr>
        <w:t>suszarkowo</w:t>
      </w:r>
      <w:proofErr w:type="spellEnd"/>
      <w:r>
        <w:rPr>
          <w:sz w:val="20"/>
          <w:szCs w:val="20"/>
        </w:rPr>
        <w:t xml:space="preserve"> </w:t>
      </w:r>
      <w:r w:rsidRPr="009122A0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9122A0">
        <w:rPr>
          <w:sz w:val="20"/>
          <w:szCs w:val="20"/>
        </w:rPr>
        <w:t>wagową.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122A0" w:rsidRDefault="009122A0" w:rsidP="009122A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materiałów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 xml:space="preserve">Farby i środki gruntujące użyte do malowania powinny odpowiadać normom 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Bezpośrednio przed użyciem należy sprawdzić: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czy dostawca dostarczył dokumenty świadczące o dopuszczeniu do obrotu i powszechnego lub jednostkowego zastosowania wyrobów używanych w robotach malarskich,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terminy przydatności do użycia podane na opakowaniach,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wygląd zewnętrzny farby w każdym opakowaniu.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Ocenę wyglądu zewnętrznego należy przeprowadzać wizualnie. Farba powinna stanowić jednorodną w kolorze i konsystencji mieszaninę.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Niedopuszczalne jest stosowanie farb, w których widać: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skoagulowane spoiwo,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nieroztarte pigmenty,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 xml:space="preserve">grudki wypełniaczy 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kożuch,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ślady pleśni,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trwały, nie dający się wymieszać osad,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nadmierne, utrzymujące się spienienie,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obce wtrącenia,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zapach gnilny,</w:t>
      </w:r>
    </w:p>
    <w:p w:rsidR="00650DDD" w:rsidRDefault="00650DDD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A55CDA" w:rsidRDefault="00A55CDA" w:rsidP="00A55CD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Badania w czasie wykonywania robót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Badania w czasie odbioru robót przeprowadza się celem oceny czy spełnione zostały wszystkie wymagania dotyczące wykonanych robót malarskich, w szczególności w zakresie: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zgodności z dokumentacją projektową, specyfikacją techniczną  wraz z wprowadzonymi zmianami naniesionymi w dokumentacji powykonawczej,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jakości zastosowanych materiałów i wyrobów,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prawidłowości przygotowania podłoży,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jakości powłok malarskich.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Przy badaniach w czasie odbioru robót należy wykorzystywać wyniki badań dokonanych przed przystąpieniem do robót i w trakcie ich wykonywania oraz zapisy w dzienniku budowy dotyczące wykonanych robót.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Badania powłok przy ich odbiorze należy przeprowadzać nie wcześniej niż po 14 dniach od zakończenia ich wykonywania.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Badania techniczne należy przeprowadzać w temperaturze powietrza co najmniej +</w:t>
      </w:r>
      <w:smartTag w:uri="urn:schemas-microsoft-com:office:smarttags" w:element="metricconverter">
        <w:smartTagPr>
          <w:attr w:name="ProductID" w:val="5ﾰC"/>
        </w:smartTagPr>
        <w:r w:rsidRPr="009122A0">
          <w:rPr>
            <w:sz w:val="20"/>
            <w:szCs w:val="20"/>
          </w:rPr>
          <w:t>5°C</w:t>
        </w:r>
      </w:smartTag>
      <w:r w:rsidRPr="009122A0">
        <w:rPr>
          <w:sz w:val="20"/>
          <w:szCs w:val="20"/>
        </w:rPr>
        <w:t xml:space="preserve"> i przy wilgotności względnej powietrza nie przekraczającej 65%.</w:t>
      </w: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122A0" w:rsidRPr="009122A0" w:rsidRDefault="009122A0" w:rsidP="009122A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122A0">
        <w:rPr>
          <w:sz w:val="20"/>
          <w:szCs w:val="20"/>
        </w:rPr>
        <w:t>Ocena jakości powłok malarskich obejmuje: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sprawdzenie wyglądu zewnętrznego,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sprawdzenie zgodności barwy i połysku,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sprawdzenie odporności na wycieranie,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sprawdzenie przyczepności powłoki,</w:t>
      </w:r>
    </w:p>
    <w:p w:rsidR="009122A0" w:rsidRPr="009122A0" w:rsidRDefault="009122A0" w:rsidP="009122A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122A0">
        <w:rPr>
          <w:rFonts w:cs="Arial"/>
          <w:sz w:val="20"/>
          <w:szCs w:val="20"/>
        </w:rPr>
        <w:t>sprawdzenie odporności na zmywanie.</w:t>
      </w:r>
    </w:p>
    <w:p w:rsidR="009E4BF8" w:rsidRDefault="009E4BF8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E4BF8" w:rsidRPr="009E4BF8" w:rsidRDefault="009122A0" w:rsidP="009E4BF8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Metody przeprowadzania badań powłok malarskich w czasie odbioru robót:</w:t>
      </w:r>
      <w:r w:rsidR="009E4BF8" w:rsidRPr="009E4BF8">
        <w:rPr>
          <w:sz w:val="20"/>
          <w:szCs w:val="20"/>
        </w:rPr>
        <w:t xml:space="preserve"> </w:t>
      </w:r>
    </w:p>
    <w:p w:rsidR="009E4BF8" w:rsidRPr="009122A0" w:rsidRDefault="009E4BF8" w:rsidP="009E4BF8">
      <w:pPr>
        <w:pStyle w:val="Nagwek2"/>
        <w:keepLines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0" w:line="240" w:lineRule="auto"/>
        <w:jc w:val="both"/>
        <w:rPr>
          <w:rFonts w:asciiTheme="minorHAnsi" w:hAnsiTheme="minorHAnsi" w:cs="Arial"/>
          <w:b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>sp</w:t>
      </w:r>
      <w:r w:rsidRPr="009122A0">
        <w:rPr>
          <w:rFonts w:asciiTheme="minorHAnsi" w:hAnsiTheme="minorHAnsi" w:cs="Arial"/>
          <w:color w:val="auto"/>
          <w:sz w:val="20"/>
        </w:rPr>
        <w:t xml:space="preserve">rawdzenie wyglądu zewnętrznego – wizualnie, okiem nieuzbrojonym w świetle rozproszonym z odległości około </w:t>
      </w:r>
      <w:smartTag w:uri="urn:schemas-microsoft-com:office:smarttags" w:element="metricconverter">
        <w:smartTagPr>
          <w:attr w:name="ProductID" w:val="0,5 m"/>
        </w:smartTagPr>
        <w:r w:rsidRPr="009122A0">
          <w:rPr>
            <w:rFonts w:asciiTheme="minorHAnsi" w:hAnsiTheme="minorHAnsi" w:cs="Arial"/>
            <w:color w:val="auto"/>
            <w:sz w:val="20"/>
          </w:rPr>
          <w:t>0,5 m</w:t>
        </w:r>
      </w:smartTag>
      <w:r w:rsidRPr="009122A0">
        <w:rPr>
          <w:rFonts w:asciiTheme="minorHAnsi" w:hAnsiTheme="minorHAnsi" w:cs="Arial"/>
          <w:color w:val="auto"/>
          <w:sz w:val="20"/>
        </w:rPr>
        <w:t>,</w:t>
      </w:r>
    </w:p>
    <w:p w:rsidR="009E4BF8" w:rsidRPr="009122A0" w:rsidRDefault="009E4BF8" w:rsidP="009E4BF8">
      <w:pPr>
        <w:pStyle w:val="Nagwek2"/>
        <w:keepLines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0" w:line="240" w:lineRule="auto"/>
        <w:jc w:val="both"/>
        <w:rPr>
          <w:rFonts w:asciiTheme="minorHAnsi" w:hAnsiTheme="minorHAnsi" w:cs="Arial"/>
          <w:b/>
          <w:color w:val="auto"/>
          <w:sz w:val="20"/>
        </w:rPr>
      </w:pPr>
      <w:r w:rsidRPr="009122A0">
        <w:rPr>
          <w:rFonts w:asciiTheme="minorHAnsi" w:hAnsiTheme="minorHAnsi" w:cs="Arial"/>
          <w:color w:val="auto"/>
          <w:sz w:val="20"/>
        </w:rPr>
        <w:t>sprawdzenie zgodności barwy i połysku – przez porównanie w świetle rozproszonym barwy i połysku wyschniętej powłoki z wzorcem producenta,</w:t>
      </w:r>
    </w:p>
    <w:p w:rsidR="009E4BF8" w:rsidRPr="009122A0" w:rsidRDefault="009E4BF8" w:rsidP="009E4BF8">
      <w:pPr>
        <w:pStyle w:val="Nagwek2"/>
        <w:keepLines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0" w:line="240" w:lineRule="auto"/>
        <w:jc w:val="both"/>
        <w:rPr>
          <w:rFonts w:asciiTheme="minorHAnsi" w:hAnsiTheme="minorHAnsi" w:cs="Arial"/>
          <w:b/>
          <w:color w:val="auto"/>
          <w:sz w:val="20"/>
        </w:rPr>
      </w:pPr>
      <w:r w:rsidRPr="009122A0">
        <w:rPr>
          <w:rFonts w:asciiTheme="minorHAnsi" w:hAnsiTheme="minorHAnsi" w:cs="Arial"/>
          <w:color w:val="auto"/>
          <w:sz w:val="20"/>
        </w:rPr>
        <w:t>sprawdzenie odporności powłoki na wycieranie – przez lekkie, kilkukrotne pocieranie jej powierzchni wełnianą lub bawełnianą szmatką w kolorze kontrastowym do powłoki. Powłokę należy uznać za odporną na wycieranie, jeżeli na szmatce nie wystąpiły ślady farby,</w:t>
      </w:r>
    </w:p>
    <w:p w:rsidR="009122A0" w:rsidRDefault="009122A0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9122A0" w:rsidRPr="009122A0" w:rsidRDefault="009122A0" w:rsidP="009122A0">
      <w:pPr>
        <w:pStyle w:val="Nagwek2"/>
        <w:keepLines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0" w:line="240" w:lineRule="auto"/>
        <w:jc w:val="both"/>
        <w:rPr>
          <w:rFonts w:asciiTheme="minorHAnsi" w:hAnsiTheme="minorHAnsi" w:cs="Arial"/>
          <w:b/>
          <w:color w:val="auto"/>
          <w:sz w:val="20"/>
        </w:rPr>
      </w:pPr>
      <w:r w:rsidRPr="009122A0">
        <w:rPr>
          <w:rFonts w:asciiTheme="minorHAnsi" w:hAnsiTheme="minorHAnsi" w:cs="Arial"/>
          <w:color w:val="auto"/>
          <w:sz w:val="20"/>
        </w:rPr>
        <w:lastRenderedPageBreak/>
        <w:t>sprawdzenie przyczepności powłoki:</w:t>
      </w:r>
    </w:p>
    <w:p w:rsidR="009122A0" w:rsidRPr="009E4BF8" w:rsidRDefault="009122A0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E4BF8">
        <w:rPr>
          <w:rFonts w:cs="Arial"/>
          <w:sz w:val="20"/>
          <w:szCs w:val="20"/>
        </w:rPr>
        <w:t xml:space="preserve">na podłożach mineralnych i mineralno-włóknistych – przez wykonanie skalpelem siatki nacięć prostopadłych o boku oczka </w:t>
      </w:r>
      <w:smartTag w:uri="urn:schemas-microsoft-com:office:smarttags" w:element="metricconverter">
        <w:smartTagPr>
          <w:attr w:name="ProductID" w:val="5 mm"/>
        </w:smartTagPr>
        <w:r w:rsidRPr="009E4BF8">
          <w:rPr>
            <w:rFonts w:cs="Arial"/>
            <w:sz w:val="20"/>
            <w:szCs w:val="20"/>
          </w:rPr>
          <w:t>5 mm</w:t>
        </w:r>
      </w:smartTag>
      <w:r w:rsidRPr="009E4BF8">
        <w:rPr>
          <w:rFonts w:cs="Arial"/>
          <w:sz w:val="20"/>
          <w:szCs w:val="20"/>
        </w:rPr>
        <w:t>, po 10 oczek w każdą stronę a następnie przetarciu pędzlem naciętej powłoki; przyczepność powłoki należy uznać za dobrą, jeżeli żaden z kwadracików nie wypadnie,</w:t>
      </w:r>
    </w:p>
    <w:p w:rsidR="009122A0" w:rsidRPr="00BE127C" w:rsidRDefault="009122A0" w:rsidP="00BE127C">
      <w:pPr>
        <w:pStyle w:val="Nagwek2"/>
        <w:keepLines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before="0" w:line="240" w:lineRule="auto"/>
        <w:jc w:val="both"/>
        <w:rPr>
          <w:rFonts w:asciiTheme="minorHAnsi" w:hAnsiTheme="minorHAnsi" w:cs="Arial"/>
          <w:color w:val="auto"/>
          <w:sz w:val="20"/>
        </w:rPr>
      </w:pPr>
      <w:r w:rsidRPr="00BE127C">
        <w:rPr>
          <w:rFonts w:asciiTheme="minorHAnsi" w:hAnsiTheme="minorHAnsi" w:cs="Arial"/>
          <w:color w:val="auto"/>
          <w:sz w:val="20"/>
        </w:rPr>
        <w:t>sprawdzenie odporności na zmywanie – przez pięciokrotne silne potarcie powłoki mokrą namydloną szczotką z twardej szczeciny, a następnie dokładne spłukanie jej wodą za pomocą miękkiego pędzla; powłokę należy uznać za odporną na zmywanie, jeżeli piana mydlana na szczotce nie ulegnie zabarwieniu oraz jeżeli po wyschnięciu cała badana powłoka będzie miała jednakową barwę i nie powstaną prześwity podłoża.</w:t>
      </w:r>
    </w:p>
    <w:p w:rsidR="009122A0" w:rsidRPr="00BE127C" w:rsidRDefault="009122A0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Wyniki badań powinny być porównane z wymaganiami podanymi w pkt. 5.5 i opisane w dzienniku budowy i protokole podpisanym przez przedstawicieli inwestora (zamawiającego) oraz wykonawcy.</w:t>
      </w:r>
    </w:p>
    <w:p w:rsidR="00A55CDA" w:rsidRPr="00E65BDE" w:rsidRDefault="00A55CDA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337027" w:rsidRPr="00E65BDE" w:rsidRDefault="00337027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OBMIAR ROBÓT</w:t>
      </w:r>
    </w:p>
    <w:p w:rsidR="00337027" w:rsidRPr="00E65BDE" w:rsidRDefault="00337027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 xml:space="preserve">Ogólne zasady </w:t>
      </w:r>
      <w:r w:rsidR="008D13F1" w:rsidRPr="00E65BDE">
        <w:rPr>
          <w:b/>
          <w:sz w:val="20"/>
          <w:szCs w:val="20"/>
        </w:rPr>
        <w:t>obmiaru</w:t>
      </w:r>
      <w:r w:rsidRPr="00E65BDE">
        <w:rPr>
          <w:b/>
          <w:sz w:val="20"/>
          <w:szCs w:val="20"/>
        </w:rPr>
        <w:t xml:space="preserve"> robót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zasady </w:t>
      </w:r>
      <w:r w:rsidR="00554D89">
        <w:rPr>
          <w:sz w:val="20"/>
          <w:szCs w:val="20"/>
        </w:rPr>
        <w:t xml:space="preserve">przedmiaru i </w:t>
      </w:r>
      <w:r w:rsidR="008D13F1" w:rsidRPr="00E65BDE">
        <w:rPr>
          <w:sz w:val="20"/>
          <w:szCs w:val="20"/>
        </w:rPr>
        <w:t>obmiaru</w:t>
      </w:r>
      <w:r w:rsidRPr="00E65BDE">
        <w:rPr>
          <w:sz w:val="20"/>
          <w:szCs w:val="20"/>
        </w:rPr>
        <w:t xml:space="preserve"> robót podano w </w:t>
      </w:r>
      <w:r w:rsidRPr="00E65BDE">
        <w:rPr>
          <w:b/>
          <w:sz w:val="20"/>
          <w:szCs w:val="20"/>
        </w:rPr>
        <w:t>ST Wymagania ogólne</w:t>
      </w:r>
    </w:p>
    <w:p w:rsidR="00337027" w:rsidRPr="00E65BDE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Obmiar robót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Powierzchnię malowania oblicza się w metrach kwadratowych w rozwinięciu, według rzeczywistych wymiarów. Z obliczonej powierzchni nie potrąca się otworów i miejsc nie malowanych o powierzchni każdego z nich do 0,5 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.</w:t>
      </w:r>
    </w:p>
    <w:p w:rsidR="00ED33C3" w:rsidRPr="00E65BDE" w:rsidRDefault="00ED33C3" w:rsidP="007C1FCB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ODBIÓR ROBÓT</w:t>
      </w:r>
    </w:p>
    <w:p w:rsidR="008D13F1" w:rsidRDefault="00BF1BA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Wymagania ogólne</w:t>
      </w:r>
    </w:p>
    <w:p w:rsidR="000153DA" w:rsidRDefault="000153DA" w:rsidP="000153D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E65BDE">
        <w:rPr>
          <w:sz w:val="20"/>
          <w:szCs w:val="20"/>
        </w:rPr>
        <w:t>Ogólne wymagania dotyczące odbioru robót podano w ST Warunki ogólne w punkcie 8</w:t>
      </w:r>
    </w:p>
    <w:p w:rsidR="00BE127C" w:rsidRDefault="00BE127C" w:rsidP="000153D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0153DA" w:rsidRPr="00E65BDE" w:rsidRDefault="00074BD4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robót zanikających i ulegających zakryciu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Przy robotach związanych z wykonywaniem powłok malarskich elementem ulegającym zakryciu są podłoża. Odbiór podłoży musi być dokonany przed rozpoczęciem robót malarskich. Wyniki badań należy porównać z wymaganiami dotyczącymi podłoży pod malowanie, Jeżeli wszystkie pomiary i badania dały wynik pozytywny można uznać podłoża za wykonane prawidłowo, tj. zgodnie z dokumentacją projektową oraz specyfikacją techniczną  i zezwolić na przystąpienie do robót malarskich.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Jeżeli chociaż jeden wynik badania jest negatywny podłoże nie powinno być odebrane. W takim przypadku należy ustalić zakres prac i rodzaje materiałów koniecznych do usunięcia nieprawidłowości podłoża. Po wykonaniu ustalonego zakresu prac należy ponownie przeprowadzić badanie podłoży.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Wszystkie ustalenia związane z dokonanym odbiorem robót ulegających zakryciu (podłoży) oraz materiałów należy zapisać w dzienniku budowy lub protokole podpisanym przez przedstawicieli inwestora (inspektor nadzoru) i wykonawcy (kierownik budowy).</w:t>
      </w:r>
    </w:p>
    <w:p w:rsidR="00074BD4" w:rsidRDefault="00074BD4" w:rsidP="00074BD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częściowy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Odbiór częściowy polega na ocenie ilości i jakości wykonanej części robót. Odbioru częściowego robót dokonuje się dla zakresu określonego w dokumentach umownych, według zasad jak przy odbiorze ostatecznym robót.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Celem odbioru częściowego jest wczesne wykrycie ewentualnych usterek w realizowanych robotach i ich usunięcie przed odbiorem końcowym.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Odbiór częściowy robót jest dokonywany przez inspektora nadzoru w obecności kierownika budowy.</w:t>
      </w:r>
    </w:p>
    <w:p w:rsid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Protokół odbioru częściowego jest podstawą do dokonania częściowego rozliczenia robót (jeżeli umowa taką formę przewiduje).</w:t>
      </w:r>
    </w:p>
    <w:p w:rsidR="00B16BC6" w:rsidRPr="00BE127C" w:rsidRDefault="00B16BC6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074BD4" w:rsidRPr="00E65BDE" w:rsidRDefault="00074BD4" w:rsidP="00074BD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ostateczny (końcowy)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Odbiór końcowy stanowi ostateczną ocenę rzeczywistego wykonania robót w odniesieniu do ich zakresu (ilości), jakości i zgodności z dokumentacją projektową.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Odbiór ostateczny przeprowadza komisja powołana przez zamawiającego, na podstawie przedłożonych dokumentów, wyników badań oraz dokonanej oceny wizualnej.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Zasady i terminy powoływania komisji oraz czas jej działania powinna określać umowa.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Wykonawca robót obowiązany jest przedłożyć komisji następujące dokumenty: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dokumentację projektową z naniesionymi zmianami dokonanymi w toku wykonywania robót,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lastRenderedPageBreak/>
        <w:t>szczegółowe specyfikacje techniczne ze zmianami wprowadzonymi w trakcie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wykonywania robót,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dziennik budowy i książki obmiarów z zapisami dokonywanymi w toku prowadzonych robót,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dokumenty świadczące o dopuszczeniu do obrotu i powszechnego zastosowania użytych materiałów i wyrobów budowlanych,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protokoły odbioru podłoży,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protokoły odbiorów częściowych,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instrukcje producentów dotyczące zastosowanych materiałów,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wyniki badań laboratoryjnych i ekspertyz.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W toku odbioru komisja obowiązana jest zapoznać się przedłożonymi dokumentami, przeprowadzić badania zgodnie z wytycznymi podanymi w niniejszej ST, porównać je z wymaganiami podanymi w dokumentacji projektowej oraz dokonać oceny wizualnej.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Roboty malarskie powinny być odebrane, jeżeli wszystkie wyniki badań są pozytywne, a dostarczone przez wykonawcę dokumenty są kompletne i prawidłowe pod względem merytorycznym.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Jeżeli chociażby jeden wynik badań był negatywny powłoka malarska nie powinna być przyjęta. W takim przypadku należy przyjąć jedno z następujących rozwiązań: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jeżeli to możliwe należy ustalić zakres prac korygujących, usunąć niezgodności powłoki z wymaganiami określonymi w dokumentacji projektowej i pkt. 5.5 niniejszej specyfikacji technicznej oraz przedstawić powłokę ponownie do odbioru,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jeżeli odchylenia od wymagań nie zagrażają bezpieczeństwu użytkownika i trwałości powłoki malarskiej zamawiający może wyrazić zgodę na dokonanie odbioru końcowego z jednoczesnym obniżeniem wartości wynagrodzenia w stosunku do ustaleń umownych,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w przypadku, gdy nie są możliwe podane wyżej rozwiązania wykonawca zobowiązany jest do usunięcia wadliwie wykonanych robót malarskich, wykonania ich ponownie i powtórnego zgłoszenia do odbioru.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W przypadku niekompletności dokumentów odbiór może być dokonany po ich uzupełnieniu.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Z czynności odbioru sporządza się protokół podpisany przez przedstawicieli zamawiającego i wykonawcy. Protokół powinien zawierać: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ustalenia podjęte w trakcie prac komisji,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ocenę wyników badań,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wykaz wad i usterek ze wskazaniem sposobu ich usunięcia,</w:t>
      </w:r>
    </w:p>
    <w:p w:rsidR="00BE127C" w:rsidRPr="00BE127C" w:rsidRDefault="00BE127C" w:rsidP="00BE127C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BE127C">
        <w:rPr>
          <w:rFonts w:cs="Arial"/>
          <w:sz w:val="20"/>
          <w:szCs w:val="20"/>
        </w:rPr>
        <w:t>stwierdzenie zgodności lub niezgodności wykonania robót malarskich z zamówieniem.</w:t>
      </w:r>
    </w:p>
    <w:p w:rsid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Protokół odbioru końcowego jest podstawą do dokonania rozliczenia końcowego pomiędzy zamawiającym a wykonawcą.</w:t>
      </w:r>
    </w:p>
    <w:p w:rsidR="00CD03B6" w:rsidRPr="00BE127C" w:rsidRDefault="00CD03B6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074BD4" w:rsidRPr="00E65BDE" w:rsidRDefault="00074BD4" w:rsidP="00074BD4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Odbiór po upływie okresu rękojmi i gwarancji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Celem odbioru po okresie rękojmi i gwarancji jest ocena stanu powłok malarskich po użytkowaniu w tym okresie oraz ocena wykonywanych w tym okresie ewentualnych robót poprawkowych, związanych z usuwaniem zgłoszonych wad.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Odbiór po upływie okresu rękojmi i gwarancji jest dokonywany na podstawie oceny wizualnej powłok malarskich, z uwzględnieniem zasad opisanych w pkt. 8.4. „Odbiór ostateczny (końcowy)”.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Pozytywny wynik odbioru pogwarancyjnego jest podstawą do zwrotu kaucji gwarancyjnej, negatywny do dokonania potrąceń wynikających z obniżonej jakości robót.</w:t>
      </w:r>
    </w:p>
    <w:p w:rsidR="00082FF0" w:rsidRDefault="00BE127C" w:rsidP="00B16BC6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Przed upływem okresu gwarancyjnego zamawiający powinien zgłosić wykonawcy wszystkie zauważone wady w wykonanych robotach malarskich.</w:t>
      </w:r>
    </w:p>
    <w:p w:rsidR="009E4BF8" w:rsidRDefault="009E4BF8" w:rsidP="00B16BC6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8D13F1" w:rsidRPr="00E65BDE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t>PODSTAWA PŁATNOŚCI</w:t>
      </w:r>
    </w:p>
    <w:p w:rsidR="008D13F1" w:rsidRPr="00E65BDE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Ogólne ustalenia dotyczące podstawy płatności</w:t>
      </w:r>
    </w:p>
    <w:p w:rsidR="008D13F1" w:rsidRPr="00E65BDE" w:rsidRDefault="008D13F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E65BDE">
        <w:rPr>
          <w:sz w:val="20"/>
          <w:szCs w:val="20"/>
        </w:rPr>
        <w:t xml:space="preserve">Ogólne ustalenia dotyczące podstawy płatności podano w </w:t>
      </w:r>
      <w:r w:rsidRPr="00E65BDE">
        <w:rPr>
          <w:b/>
          <w:sz w:val="20"/>
          <w:szCs w:val="20"/>
        </w:rPr>
        <w:t>ST Wymagania ogólne</w:t>
      </w:r>
    </w:p>
    <w:p w:rsidR="009A0878" w:rsidRDefault="009A0878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9A0878" w:rsidRDefault="009A0878" w:rsidP="009A0878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rozliczenia o płatności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Rozliczenie robót malarskich może być dokonane jednorazowo po wykonaniu pełnego zakresu robót i ich końcowym odbiorze lub etapami określonymi w umowie, po dokonaniu odbiorów częściowych robót.</w:t>
      </w:r>
    </w:p>
    <w:p w:rsidR="00BE127C" w:rsidRPr="00BE127C" w:rsidRDefault="00BE127C" w:rsidP="00BE127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BE127C">
        <w:rPr>
          <w:sz w:val="20"/>
          <w:szCs w:val="20"/>
        </w:rPr>
        <w:t>Ostateczne rozliczenie umowy pomiędzy zamawiającym a wykonawcą następuje po dokonaniu odbioru pogwarancyjnego.</w:t>
      </w:r>
    </w:p>
    <w:p w:rsidR="00027F05" w:rsidRPr="00E65BDE" w:rsidRDefault="00027F05" w:rsidP="00027F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90B46" w:rsidRPr="00E65BDE" w:rsidRDefault="00F90B46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E65BDE">
        <w:rPr>
          <w:b/>
        </w:rPr>
        <w:lastRenderedPageBreak/>
        <w:t>PRZEPISY ZWIĄZANE</w:t>
      </w:r>
    </w:p>
    <w:p w:rsidR="00F90B46" w:rsidRPr="00E65BDE" w:rsidRDefault="00F90B46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E65BDE">
        <w:rPr>
          <w:b/>
          <w:sz w:val="20"/>
          <w:szCs w:val="20"/>
        </w:rPr>
        <w:t>Normy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PN-91/B-10102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Farby do elewacji budynków – Wymagania i badania.</w:t>
      </w:r>
    </w:p>
    <w:p w:rsidR="00947341" w:rsidRPr="00947341" w:rsidRDefault="009E4BF8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PN-EN ISO 2409:1999 </w:t>
      </w:r>
      <w:r>
        <w:rPr>
          <w:sz w:val="20"/>
          <w:szCs w:val="20"/>
        </w:rPr>
        <w:tab/>
      </w:r>
      <w:r w:rsidR="00947341" w:rsidRPr="00947341">
        <w:rPr>
          <w:sz w:val="20"/>
          <w:szCs w:val="20"/>
        </w:rPr>
        <w:t>Farby i lakiery – Metoda siatki naciąć.</w:t>
      </w:r>
    </w:p>
    <w:p w:rsidR="00947341" w:rsidRPr="00947341" w:rsidRDefault="00947341" w:rsidP="009E4BF8">
      <w:pPr>
        <w:pStyle w:val="Akapitzlist"/>
        <w:spacing w:after="0" w:line="240" w:lineRule="auto"/>
        <w:ind w:left="2832" w:hanging="240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PN-EN 13300:2002 </w:t>
      </w:r>
      <w:r w:rsidRPr="00947341">
        <w:rPr>
          <w:sz w:val="20"/>
          <w:szCs w:val="20"/>
        </w:rPr>
        <w:tab/>
        <w:t>Farby i lakiery – Wodne wyroby lakierowe i systemy powłokowe na wewnętrzne ściany i sufity – Klasyfikacja.</w:t>
      </w:r>
    </w:p>
    <w:p w:rsidR="00947341" w:rsidRPr="00947341" w:rsidRDefault="00947341" w:rsidP="009E4BF8">
      <w:pPr>
        <w:pStyle w:val="Akapitzlist"/>
        <w:spacing w:after="0" w:line="240" w:lineRule="auto"/>
        <w:ind w:left="2832" w:hanging="240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PN-C-81607:1998 </w:t>
      </w:r>
      <w:r w:rsidRPr="00947341">
        <w:rPr>
          <w:sz w:val="20"/>
          <w:szCs w:val="20"/>
        </w:rPr>
        <w:tab/>
        <w:t xml:space="preserve">Emalie olejno-żywiczne, ftalowe, ftalowe modyfikowane i ftalowe </w:t>
      </w:r>
      <w:proofErr w:type="spellStart"/>
      <w:r w:rsidRPr="00947341">
        <w:rPr>
          <w:sz w:val="20"/>
          <w:szCs w:val="20"/>
        </w:rPr>
        <w:t>kopolimeryzowane</w:t>
      </w:r>
      <w:proofErr w:type="spellEnd"/>
      <w:r w:rsidRPr="00947341">
        <w:rPr>
          <w:sz w:val="20"/>
          <w:szCs w:val="20"/>
        </w:rPr>
        <w:t xml:space="preserve"> styrenowe.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PN-C-81800:1998 </w:t>
      </w:r>
      <w:r w:rsidRPr="00947341">
        <w:rPr>
          <w:sz w:val="20"/>
          <w:szCs w:val="20"/>
        </w:rPr>
        <w:tab/>
      </w:r>
      <w:r w:rsidR="009E4BF8">
        <w:rPr>
          <w:sz w:val="20"/>
          <w:szCs w:val="20"/>
        </w:rPr>
        <w:tab/>
      </w:r>
      <w:r w:rsidRPr="00947341">
        <w:rPr>
          <w:sz w:val="20"/>
          <w:szCs w:val="20"/>
        </w:rPr>
        <w:t xml:space="preserve">Lakiery olejno-żywiczne, ftalowe modyfikowane i ftalowe </w:t>
      </w:r>
      <w:proofErr w:type="spellStart"/>
      <w:r w:rsidRPr="00947341">
        <w:rPr>
          <w:sz w:val="20"/>
          <w:szCs w:val="20"/>
        </w:rPr>
        <w:t>kopolimeryzowane</w:t>
      </w:r>
      <w:proofErr w:type="spellEnd"/>
      <w:r w:rsidRPr="00947341">
        <w:rPr>
          <w:sz w:val="20"/>
          <w:szCs w:val="20"/>
        </w:rPr>
        <w:t xml:space="preserve"> styrenowe.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PN-C-81801:1997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Lakiery nitrocelulozowe.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PN-C-81802:2002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Lakiery wodorozcieńczalne stosowane wewnątrz.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PN-C-81901:2002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Farby olejne i alkilowe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PN-C-81913:1998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Farby dyspersyjne do malowania elewacji budynków.</w:t>
      </w:r>
    </w:p>
    <w:p w:rsidR="00947341" w:rsidRPr="00947341" w:rsidRDefault="00947341" w:rsidP="00947341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PN-C-81914:2002 </w:t>
      </w:r>
      <w:r w:rsidRPr="00947341">
        <w:rPr>
          <w:sz w:val="20"/>
          <w:szCs w:val="20"/>
        </w:rPr>
        <w:tab/>
      </w:r>
      <w:r w:rsidRPr="00947341">
        <w:rPr>
          <w:sz w:val="20"/>
          <w:szCs w:val="20"/>
        </w:rPr>
        <w:tab/>
        <w:t>Farby dyspersyjne stosowane wewnątrz.</w:t>
      </w:r>
    </w:p>
    <w:p w:rsidR="00947341" w:rsidRPr="00947341" w:rsidRDefault="00947341" w:rsidP="009E4BF8">
      <w:pPr>
        <w:pStyle w:val="Akapitzlist"/>
        <w:spacing w:after="0" w:line="240" w:lineRule="auto"/>
        <w:ind w:left="2832" w:hanging="2406"/>
        <w:contextualSpacing w:val="0"/>
        <w:jc w:val="both"/>
        <w:rPr>
          <w:sz w:val="20"/>
          <w:szCs w:val="20"/>
        </w:rPr>
      </w:pPr>
      <w:r w:rsidRPr="00947341">
        <w:rPr>
          <w:sz w:val="20"/>
          <w:szCs w:val="20"/>
        </w:rPr>
        <w:t xml:space="preserve">PN-EN 1008:2004 </w:t>
      </w:r>
      <w:r w:rsidRPr="00947341">
        <w:rPr>
          <w:sz w:val="20"/>
          <w:szCs w:val="20"/>
        </w:rPr>
        <w:tab/>
        <w:t>Woda zarobowa do betonu – Specyfikacja pobierania próbek, badanie i ocena przydatności wody zarobowej do betonu, w tym wody odzyskanej z procesów produkcji betonu.</w:t>
      </w:r>
    </w:p>
    <w:p w:rsidR="00C45D2C" w:rsidRPr="00C45D2C" w:rsidRDefault="00C45D2C" w:rsidP="00C45D2C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21FD5" w:rsidRDefault="00C45D2C" w:rsidP="00221FD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Ustawy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Ustawa z dnia 16 kwietnia 2004 r. o wyrobach budowlanych (Dz. U. z 2004 r. Nr 92, poz. 881).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 xml:space="preserve">Ustawa z dnia 30 sierpnia 2002 r. o systemie oceny zgodności (tekst jednolity Dz. U. z 2004 </w:t>
      </w:r>
      <w:proofErr w:type="spellStart"/>
      <w:r w:rsidRPr="00947341">
        <w:rPr>
          <w:rFonts w:cs="Arial"/>
          <w:sz w:val="20"/>
          <w:szCs w:val="20"/>
        </w:rPr>
        <w:t>sr</w:t>
      </w:r>
      <w:proofErr w:type="spellEnd"/>
      <w:r w:rsidRPr="00947341">
        <w:rPr>
          <w:rFonts w:cs="Arial"/>
          <w:sz w:val="20"/>
          <w:szCs w:val="20"/>
        </w:rPr>
        <w:t xml:space="preserve">. Nr 204, poz. 2087 z </w:t>
      </w:r>
      <w:proofErr w:type="spellStart"/>
      <w:r w:rsidRPr="00947341">
        <w:rPr>
          <w:rFonts w:cs="Arial"/>
          <w:sz w:val="20"/>
          <w:szCs w:val="20"/>
        </w:rPr>
        <w:t>późn</w:t>
      </w:r>
      <w:proofErr w:type="spellEnd"/>
      <w:r w:rsidRPr="00947341">
        <w:rPr>
          <w:rFonts w:cs="Arial"/>
          <w:sz w:val="20"/>
          <w:szCs w:val="20"/>
        </w:rPr>
        <w:t>. zmianami).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Ustawa z dnia 7 lipca 1994 r. Prawo budowlane (tekst jednolity Dz. U. z 2006 r. Nr 156, poz. 1118).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 xml:space="preserve">Ustawa z dnia 11 stycznia 2001 r. o substancjach i preparatach chemicznych (Dz. U. z 2001 r. Nr 11, poz. 84 z </w:t>
      </w:r>
      <w:proofErr w:type="spellStart"/>
      <w:r w:rsidRPr="00947341">
        <w:rPr>
          <w:rFonts w:cs="Arial"/>
          <w:sz w:val="20"/>
          <w:szCs w:val="20"/>
        </w:rPr>
        <w:t>późn</w:t>
      </w:r>
      <w:proofErr w:type="spellEnd"/>
      <w:r w:rsidRPr="00947341">
        <w:rPr>
          <w:rFonts w:cs="Arial"/>
          <w:sz w:val="20"/>
          <w:szCs w:val="20"/>
        </w:rPr>
        <w:t>. zmianami).</w:t>
      </w:r>
    </w:p>
    <w:p w:rsidR="00221FD5" w:rsidRPr="00E65BDE" w:rsidRDefault="00221FD5" w:rsidP="00221FD5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947341" w:rsidRDefault="00947341" w:rsidP="00947341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Rozporządzenia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2072, zmiana Dz. U. z 2005 r. Nr 75, poz. 664).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Rozporządzenie Ministra Infrastruktury z dnia 03.07.2003 r. w sprawie szczegółowego zakresu i formy projektu budowlanego (Dz. U. z 2003 r. Nr 120, poz. 1133).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 xml:space="preserve">Rozporządzenie Ministra Infrastruktury z dnia 11 sierpnia 2004 r. w sprawie sposobów deklarowania zgodności wyrobów budowlanych oraz sposobu znakowania ich znakiem budowlanym (Dz. U. z 2004 r. Nr 198, poz. 2041 z </w:t>
      </w:r>
      <w:proofErr w:type="spellStart"/>
      <w:r w:rsidRPr="00947341">
        <w:rPr>
          <w:rFonts w:cs="Arial"/>
          <w:sz w:val="20"/>
          <w:szCs w:val="20"/>
        </w:rPr>
        <w:t>późn</w:t>
      </w:r>
      <w:proofErr w:type="spellEnd"/>
      <w:r w:rsidRPr="00947341">
        <w:rPr>
          <w:rFonts w:cs="Arial"/>
          <w:sz w:val="20"/>
          <w:szCs w:val="20"/>
        </w:rPr>
        <w:t>. zmianami).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Rozporządzenie Ministra Infrastruktury z dnia 11 sierpnia 2004 r. w sprawie systemów oceny zgodności, wymagań, jakie powinny spełniać notyfikowane jednostki uczestniczące w ocenie zgodności, oraz sposobu oznaczania wyrobów budowlanych oznakowaniem CE (Dz. U. z 2004 r. Nr 195, poz. 2011).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>Rozporządzenie Ministra Infrastruktury z dnia 23 czerwca 2003 r. w sprawie informacji dotyczącej bezpieczeństwa i ochrony zdrowia oraz planu bezpieczeństwa i ochrony zdrowia (Dz. U. z 2003 r. Nr 120, poz. 1126).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 xml:space="preserve">Rozporządzenie Ministra Infrastruktury z dnia 12 kwietnia 2002 r. w sprawie warunków technicznych, jakim powinny odpowiadać budynki i ich usytuowanie (Dz. U. z 2002 r. Nr 75, poz. 690 z </w:t>
      </w:r>
      <w:proofErr w:type="spellStart"/>
      <w:r w:rsidRPr="00947341">
        <w:rPr>
          <w:rFonts w:cs="Arial"/>
          <w:sz w:val="20"/>
          <w:szCs w:val="20"/>
        </w:rPr>
        <w:t>późn</w:t>
      </w:r>
      <w:proofErr w:type="spellEnd"/>
      <w:r w:rsidRPr="00947341">
        <w:rPr>
          <w:rFonts w:cs="Arial"/>
          <w:sz w:val="20"/>
          <w:szCs w:val="20"/>
        </w:rPr>
        <w:t>. zmianami).</w:t>
      </w:r>
    </w:p>
    <w:p w:rsidR="00947341" w:rsidRPr="00947341" w:rsidRDefault="00947341" w:rsidP="009473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47341">
        <w:rPr>
          <w:rFonts w:cs="Arial"/>
          <w:sz w:val="20"/>
          <w:szCs w:val="20"/>
        </w:rPr>
        <w:t xml:space="preserve">Rozporządzenie Ministra Zdrowia z dnia 3 lipca 2002 r. w sprawie karty charakterystyki substancji niebezpiecznej i preparatu niebezpiecznego (Dz. U. z 2002 r. Nr 140, poz. 1171 z </w:t>
      </w:r>
      <w:proofErr w:type="spellStart"/>
      <w:r w:rsidRPr="00947341">
        <w:rPr>
          <w:rFonts w:cs="Arial"/>
          <w:sz w:val="20"/>
          <w:szCs w:val="20"/>
        </w:rPr>
        <w:t>późn</w:t>
      </w:r>
      <w:proofErr w:type="spellEnd"/>
      <w:r w:rsidRPr="00947341">
        <w:rPr>
          <w:rFonts w:cs="Arial"/>
          <w:sz w:val="20"/>
          <w:szCs w:val="20"/>
        </w:rPr>
        <w:t>. zmianami).</w:t>
      </w:r>
    </w:p>
    <w:p w:rsidR="00216E0D" w:rsidRPr="009E4BF8" w:rsidRDefault="00947341" w:rsidP="009E4BF8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9E4BF8">
        <w:rPr>
          <w:rFonts w:cs="Arial"/>
          <w:sz w:val="20"/>
          <w:szCs w:val="20"/>
        </w:rPr>
        <w:t xml:space="preserve">Rozporządzenie Ministra Zdrowia z dnia 2 września 2003 r. w sprawie oznakowania opakowań substancji niebezpiecznych i preparatów niebezpiecznych (Dz. U. z 2003 r. Nr 173, poz. 1679 z </w:t>
      </w:r>
      <w:proofErr w:type="spellStart"/>
      <w:r w:rsidRPr="009E4BF8">
        <w:rPr>
          <w:rFonts w:cs="Arial"/>
          <w:sz w:val="20"/>
          <w:szCs w:val="20"/>
        </w:rPr>
        <w:t>późn</w:t>
      </w:r>
      <w:proofErr w:type="spellEnd"/>
      <w:r w:rsidRPr="009E4BF8">
        <w:rPr>
          <w:rFonts w:cs="Arial"/>
          <w:sz w:val="20"/>
          <w:szCs w:val="20"/>
        </w:rPr>
        <w:t>. zmianami).</w:t>
      </w:r>
    </w:p>
    <w:p w:rsidR="00F90B46" w:rsidRPr="00E65BDE" w:rsidRDefault="00F90B46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sectPr w:rsidR="00F90B46" w:rsidRPr="00E65BDE" w:rsidSect="007D08E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9C" w:rsidRDefault="003F239C" w:rsidP="00AB062E">
      <w:pPr>
        <w:spacing w:after="0" w:line="240" w:lineRule="auto"/>
      </w:pPr>
      <w:r>
        <w:separator/>
      </w:r>
    </w:p>
  </w:endnote>
  <w:endnote w:type="continuationSeparator" w:id="0">
    <w:p w:rsidR="003F239C" w:rsidRDefault="003F239C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Tr="00F90B46">
      <w:tc>
        <w:tcPr>
          <w:tcW w:w="4530" w:type="dxa"/>
        </w:tcPr>
        <w:p w:rsidR="00451FF1" w:rsidRDefault="00451FF1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7D08E5" w:rsidRPr="007D08E5">
            <w:rPr>
              <w:rFonts w:eastAsiaTheme="majorEastAsia" w:cstheme="majorBidi"/>
              <w:noProof/>
              <w:sz w:val="16"/>
              <w:szCs w:val="16"/>
            </w:rPr>
            <w:t>78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451FF1" w:rsidRDefault="009E4BF8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451FF1" w:rsidRPr="00E70CB0" w:rsidRDefault="00451FF1" w:rsidP="00510748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RPr="00F90B46" w:rsidTr="00F90B46">
      <w:tc>
        <w:tcPr>
          <w:tcW w:w="4530" w:type="dxa"/>
        </w:tcPr>
        <w:p w:rsidR="00451FF1" w:rsidRPr="00F90B46" w:rsidRDefault="009E4BF8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451FF1" w:rsidRPr="00F90B46" w:rsidRDefault="00451FF1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7D08E5" w:rsidRPr="007D08E5">
            <w:rPr>
              <w:rFonts w:eastAsiaTheme="majorEastAsia" w:cstheme="majorBidi"/>
              <w:noProof/>
              <w:sz w:val="16"/>
              <w:szCs w:val="16"/>
            </w:rPr>
            <w:t>79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451FF1" w:rsidRDefault="00451FF1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9C" w:rsidRDefault="003F239C" w:rsidP="00AB062E">
      <w:pPr>
        <w:spacing w:after="0" w:line="240" w:lineRule="auto"/>
      </w:pPr>
      <w:r>
        <w:separator/>
      </w:r>
    </w:p>
  </w:footnote>
  <w:footnote w:type="continuationSeparator" w:id="0">
    <w:p w:rsidR="003F239C" w:rsidRDefault="003F239C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3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6095"/>
    </w:tblGrid>
    <w:tr w:rsidR="00451FF1" w:rsidTr="004073F4">
      <w:tc>
        <w:tcPr>
          <w:tcW w:w="3261" w:type="dxa"/>
        </w:tcPr>
        <w:p w:rsidR="00451FF1" w:rsidRPr="008E0C97" w:rsidRDefault="00451FF1" w:rsidP="00C97CD5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8E0C97">
            <w:rPr>
              <w:sz w:val="16"/>
              <w:szCs w:val="16"/>
            </w:rPr>
            <w:t>SST B-</w:t>
          </w:r>
          <w:r>
            <w:rPr>
              <w:sz w:val="16"/>
              <w:szCs w:val="16"/>
            </w:rPr>
            <w:t>1</w:t>
          </w:r>
          <w:r w:rsidR="0074503A">
            <w:rPr>
              <w:sz w:val="16"/>
              <w:szCs w:val="16"/>
            </w:rPr>
            <w:t>4</w:t>
          </w:r>
          <w:r w:rsidRPr="008E0C97">
            <w:rPr>
              <w:sz w:val="16"/>
              <w:szCs w:val="16"/>
            </w:rPr>
            <w:t xml:space="preserve"> </w:t>
          </w:r>
          <w:r w:rsidR="00C97CD5">
            <w:rPr>
              <w:sz w:val="16"/>
              <w:szCs w:val="16"/>
            </w:rPr>
            <w:t>Roboty malarskie</w:t>
          </w:r>
        </w:p>
      </w:tc>
      <w:tc>
        <w:tcPr>
          <w:tcW w:w="6095" w:type="dxa"/>
        </w:tcPr>
        <w:p w:rsidR="009E4BF8" w:rsidRDefault="009E4BF8" w:rsidP="009E4BF8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8E0C97" w:rsidRDefault="009E4BF8" w:rsidP="009E4BF8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</w:tr>
  </w:tbl>
  <w:p w:rsidR="00451FF1" w:rsidRPr="00E70CB0" w:rsidRDefault="00451FF1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2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4"/>
      <w:gridCol w:w="3260"/>
    </w:tblGrid>
    <w:tr w:rsidR="00451FF1" w:rsidTr="004073F4">
      <w:tc>
        <w:tcPr>
          <w:tcW w:w="5954" w:type="dxa"/>
        </w:tcPr>
        <w:p w:rsidR="009E4BF8" w:rsidRDefault="009E4BF8" w:rsidP="009E4BF8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2F01D1" w:rsidRDefault="009E4BF8" w:rsidP="009E4BF8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  <w:r>
            <w:rPr>
              <w:sz w:val="12"/>
              <w:szCs w:val="12"/>
            </w:rPr>
            <w:t>.</w:t>
          </w:r>
        </w:p>
      </w:tc>
      <w:tc>
        <w:tcPr>
          <w:tcW w:w="3260" w:type="dxa"/>
        </w:tcPr>
        <w:p w:rsidR="00451FF1" w:rsidRDefault="00451FF1" w:rsidP="0074503A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B-1</w:t>
          </w:r>
          <w:r w:rsidR="0074503A">
            <w:rPr>
              <w:sz w:val="16"/>
              <w:szCs w:val="16"/>
            </w:rPr>
            <w:t>4</w:t>
          </w:r>
          <w:r w:rsidRPr="00F90B46">
            <w:rPr>
              <w:sz w:val="16"/>
              <w:szCs w:val="16"/>
            </w:rPr>
            <w:t xml:space="preserve"> </w:t>
          </w:r>
          <w:r w:rsidR="0074503A">
            <w:rPr>
              <w:sz w:val="16"/>
              <w:szCs w:val="16"/>
            </w:rPr>
            <w:t>Roboty malarskie</w:t>
          </w:r>
        </w:p>
      </w:tc>
    </w:tr>
  </w:tbl>
  <w:p w:rsidR="00451FF1" w:rsidRPr="00F90B46" w:rsidRDefault="00451FF1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000772"/>
    <w:multiLevelType w:val="hybridMultilevel"/>
    <w:tmpl w:val="B8D8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C728C"/>
    <w:multiLevelType w:val="multilevel"/>
    <w:tmpl w:val="6A387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" w15:restartNumberingAfterBreak="0">
    <w:nsid w:val="061D3ACE"/>
    <w:multiLevelType w:val="hybridMultilevel"/>
    <w:tmpl w:val="A4A26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DD4B68"/>
    <w:multiLevelType w:val="multilevel"/>
    <w:tmpl w:val="3D82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5" w15:restartNumberingAfterBreak="0">
    <w:nsid w:val="08195905"/>
    <w:multiLevelType w:val="multilevel"/>
    <w:tmpl w:val="9916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0BE75C37"/>
    <w:multiLevelType w:val="multilevel"/>
    <w:tmpl w:val="E17A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11F2296F"/>
    <w:multiLevelType w:val="multilevel"/>
    <w:tmpl w:val="9FC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9" w15:restartNumberingAfterBreak="0">
    <w:nsid w:val="170B23F4"/>
    <w:multiLevelType w:val="hybridMultilevel"/>
    <w:tmpl w:val="1EE21B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7526286"/>
    <w:multiLevelType w:val="hybridMultilevel"/>
    <w:tmpl w:val="10BA0D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A00C11"/>
    <w:multiLevelType w:val="multilevel"/>
    <w:tmpl w:val="19F4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233A214E"/>
    <w:multiLevelType w:val="hybridMultilevel"/>
    <w:tmpl w:val="BF4A13C2"/>
    <w:lvl w:ilvl="0" w:tplc="0415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F65408"/>
    <w:multiLevelType w:val="hybridMultilevel"/>
    <w:tmpl w:val="D8C0F3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4747D4A"/>
    <w:multiLevelType w:val="multilevel"/>
    <w:tmpl w:val="A2A06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5" w15:restartNumberingAfterBreak="0">
    <w:nsid w:val="39721876"/>
    <w:multiLevelType w:val="multilevel"/>
    <w:tmpl w:val="4F1672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3AAA57E7"/>
    <w:multiLevelType w:val="multilevel"/>
    <w:tmpl w:val="E6C6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7" w15:restartNumberingAfterBreak="0">
    <w:nsid w:val="3C317014"/>
    <w:multiLevelType w:val="multilevel"/>
    <w:tmpl w:val="F0B8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8" w15:restartNumberingAfterBreak="0">
    <w:nsid w:val="3E4B768D"/>
    <w:multiLevelType w:val="multilevel"/>
    <w:tmpl w:val="7E28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9" w15:restartNumberingAfterBreak="0">
    <w:nsid w:val="434C7917"/>
    <w:multiLevelType w:val="multilevel"/>
    <w:tmpl w:val="6B562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0" w15:restartNumberingAfterBreak="0">
    <w:nsid w:val="580A4C9C"/>
    <w:multiLevelType w:val="hybridMultilevel"/>
    <w:tmpl w:val="892E1DE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A326AE9"/>
    <w:multiLevelType w:val="multilevel"/>
    <w:tmpl w:val="8FD2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5D781B2E"/>
    <w:multiLevelType w:val="hybridMultilevel"/>
    <w:tmpl w:val="BE9C04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E5958CB"/>
    <w:multiLevelType w:val="hybridMultilevel"/>
    <w:tmpl w:val="724063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313C4F"/>
    <w:multiLevelType w:val="multilevel"/>
    <w:tmpl w:val="B3DA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5" w15:restartNumberingAfterBreak="0">
    <w:nsid w:val="6D646165"/>
    <w:multiLevelType w:val="multilevel"/>
    <w:tmpl w:val="4468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6" w15:restartNumberingAfterBreak="0">
    <w:nsid w:val="6D91241B"/>
    <w:multiLevelType w:val="hybridMultilevel"/>
    <w:tmpl w:val="96B2CB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06E6E5D"/>
    <w:multiLevelType w:val="hybridMultilevel"/>
    <w:tmpl w:val="31D66DDA"/>
    <w:lvl w:ilvl="0" w:tplc="B99879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042A"/>
    <w:multiLevelType w:val="hybridMultilevel"/>
    <w:tmpl w:val="EE0845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C2B5795"/>
    <w:multiLevelType w:val="hybridMultilevel"/>
    <w:tmpl w:val="70A630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E3F007E"/>
    <w:multiLevelType w:val="hybridMultilevel"/>
    <w:tmpl w:val="2870980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2"/>
  </w:num>
  <w:num w:numId="4">
    <w:abstractNumId w:val="9"/>
  </w:num>
  <w:num w:numId="5">
    <w:abstractNumId w:val="26"/>
  </w:num>
  <w:num w:numId="6">
    <w:abstractNumId w:val="30"/>
  </w:num>
  <w:num w:numId="7">
    <w:abstractNumId w:val="28"/>
  </w:num>
  <w:num w:numId="8">
    <w:abstractNumId w:val="13"/>
  </w:num>
  <w:num w:numId="9">
    <w:abstractNumId w:val="20"/>
  </w:num>
  <w:num w:numId="10">
    <w:abstractNumId w:val="29"/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</w:num>
  <w:num w:numId="13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11E34"/>
    <w:rsid w:val="000153DA"/>
    <w:rsid w:val="000172D3"/>
    <w:rsid w:val="00027F05"/>
    <w:rsid w:val="00030356"/>
    <w:rsid w:val="00074BD4"/>
    <w:rsid w:val="00082FF0"/>
    <w:rsid w:val="000A02FA"/>
    <w:rsid w:val="00106B88"/>
    <w:rsid w:val="001076F8"/>
    <w:rsid w:val="00154F8C"/>
    <w:rsid w:val="0015605A"/>
    <w:rsid w:val="0017201A"/>
    <w:rsid w:val="001E7AC0"/>
    <w:rsid w:val="002058F0"/>
    <w:rsid w:val="0020634D"/>
    <w:rsid w:val="00213C4D"/>
    <w:rsid w:val="00216E0D"/>
    <w:rsid w:val="00221FD5"/>
    <w:rsid w:val="00222A1C"/>
    <w:rsid w:val="00255437"/>
    <w:rsid w:val="00260BC1"/>
    <w:rsid w:val="002613AC"/>
    <w:rsid w:val="0026555E"/>
    <w:rsid w:val="002777ED"/>
    <w:rsid w:val="0028517D"/>
    <w:rsid w:val="0029042F"/>
    <w:rsid w:val="00293401"/>
    <w:rsid w:val="00295A2F"/>
    <w:rsid w:val="002D202F"/>
    <w:rsid w:val="002F01D1"/>
    <w:rsid w:val="002F3934"/>
    <w:rsid w:val="002F7398"/>
    <w:rsid w:val="0030047F"/>
    <w:rsid w:val="003138CD"/>
    <w:rsid w:val="00336267"/>
    <w:rsid w:val="00337027"/>
    <w:rsid w:val="00337362"/>
    <w:rsid w:val="00363D57"/>
    <w:rsid w:val="00365AC2"/>
    <w:rsid w:val="00367B7C"/>
    <w:rsid w:val="00376187"/>
    <w:rsid w:val="003A13FE"/>
    <w:rsid w:val="003F239C"/>
    <w:rsid w:val="003F3E96"/>
    <w:rsid w:val="004073F4"/>
    <w:rsid w:val="004100B9"/>
    <w:rsid w:val="004158CB"/>
    <w:rsid w:val="00422ACA"/>
    <w:rsid w:val="00451FF1"/>
    <w:rsid w:val="00452AFC"/>
    <w:rsid w:val="0046157D"/>
    <w:rsid w:val="0047039E"/>
    <w:rsid w:val="00475FA4"/>
    <w:rsid w:val="00482300"/>
    <w:rsid w:val="004824EC"/>
    <w:rsid w:val="00483FE0"/>
    <w:rsid w:val="004851E6"/>
    <w:rsid w:val="004920F3"/>
    <w:rsid w:val="004B5CD6"/>
    <w:rsid w:val="004C271E"/>
    <w:rsid w:val="004D1504"/>
    <w:rsid w:val="004D47D3"/>
    <w:rsid w:val="004E6225"/>
    <w:rsid w:val="004F1F80"/>
    <w:rsid w:val="00506CEE"/>
    <w:rsid w:val="00510748"/>
    <w:rsid w:val="00530C6D"/>
    <w:rsid w:val="00535B0E"/>
    <w:rsid w:val="0054664E"/>
    <w:rsid w:val="00554D89"/>
    <w:rsid w:val="00555557"/>
    <w:rsid w:val="00562C2D"/>
    <w:rsid w:val="005649D1"/>
    <w:rsid w:val="00575EFD"/>
    <w:rsid w:val="00580FBB"/>
    <w:rsid w:val="00581A8B"/>
    <w:rsid w:val="005A1945"/>
    <w:rsid w:val="005B2A3F"/>
    <w:rsid w:val="005D3B26"/>
    <w:rsid w:val="005D7A92"/>
    <w:rsid w:val="0062513D"/>
    <w:rsid w:val="0063259A"/>
    <w:rsid w:val="006349CE"/>
    <w:rsid w:val="00643EA6"/>
    <w:rsid w:val="00646A2D"/>
    <w:rsid w:val="00650DDD"/>
    <w:rsid w:val="006561CC"/>
    <w:rsid w:val="00673F64"/>
    <w:rsid w:val="006845AB"/>
    <w:rsid w:val="00690513"/>
    <w:rsid w:val="006B797D"/>
    <w:rsid w:val="006D749F"/>
    <w:rsid w:val="006E1692"/>
    <w:rsid w:val="006F320B"/>
    <w:rsid w:val="0070730B"/>
    <w:rsid w:val="007100CE"/>
    <w:rsid w:val="00725A61"/>
    <w:rsid w:val="0074503A"/>
    <w:rsid w:val="00787253"/>
    <w:rsid w:val="007C1FCB"/>
    <w:rsid w:val="007D08E5"/>
    <w:rsid w:val="007E2BEA"/>
    <w:rsid w:val="007E37AE"/>
    <w:rsid w:val="00806A59"/>
    <w:rsid w:val="008A0324"/>
    <w:rsid w:val="008D13F1"/>
    <w:rsid w:val="008E0C97"/>
    <w:rsid w:val="008E6727"/>
    <w:rsid w:val="008F2C05"/>
    <w:rsid w:val="008F2D39"/>
    <w:rsid w:val="008F4D5A"/>
    <w:rsid w:val="009122A0"/>
    <w:rsid w:val="00942409"/>
    <w:rsid w:val="00947341"/>
    <w:rsid w:val="0096503D"/>
    <w:rsid w:val="00974727"/>
    <w:rsid w:val="00975E17"/>
    <w:rsid w:val="00991D4C"/>
    <w:rsid w:val="009A0878"/>
    <w:rsid w:val="009A16D3"/>
    <w:rsid w:val="009B4B7E"/>
    <w:rsid w:val="009C7180"/>
    <w:rsid w:val="009D2295"/>
    <w:rsid w:val="009E4BF8"/>
    <w:rsid w:val="00A3221B"/>
    <w:rsid w:val="00A43F21"/>
    <w:rsid w:val="00A55CDA"/>
    <w:rsid w:val="00A622D2"/>
    <w:rsid w:val="00A67CE5"/>
    <w:rsid w:val="00A77E77"/>
    <w:rsid w:val="00AB062E"/>
    <w:rsid w:val="00AD6D1E"/>
    <w:rsid w:val="00AD7F2F"/>
    <w:rsid w:val="00B03045"/>
    <w:rsid w:val="00B15B5E"/>
    <w:rsid w:val="00B16BC6"/>
    <w:rsid w:val="00B32D20"/>
    <w:rsid w:val="00B42B64"/>
    <w:rsid w:val="00B42FA1"/>
    <w:rsid w:val="00B56E79"/>
    <w:rsid w:val="00B8311A"/>
    <w:rsid w:val="00B86166"/>
    <w:rsid w:val="00B970D0"/>
    <w:rsid w:val="00BB1654"/>
    <w:rsid w:val="00BC39FA"/>
    <w:rsid w:val="00BD0C2B"/>
    <w:rsid w:val="00BE127C"/>
    <w:rsid w:val="00BF0AC4"/>
    <w:rsid w:val="00BF1BAC"/>
    <w:rsid w:val="00BF2869"/>
    <w:rsid w:val="00C05ED6"/>
    <w:rsid w:val="00C21A76"/>
    <w:rsid w:val="00C327E6"/>
    <w:rsid w:val="00C459F0"/>
    <w:rsid w:val="00C45D2C"/>
    <w:rsid w:val="00C54C20"/>
    <w:rsid w:val="00C63457"/>
    <w:rsid w:val="00C83D5A"/>
    <w:rsid w:val="00C86729"/>
    <w:rsid w:val="00C86DB1"/>
    <w:rsid w:val="00C97CD5"/>
    <w:rsid w:val="00CA22F9"/>
    <w:rsid w:val="00CB7B15"/>
    <w:rsid w:val="00CC3C84"/>
    <w:rsid w:val="00CC6C92"/>
    <w:rsid w:val="00CD03B6"/>
    <w:rsid w:val="00CE52F2"/>
    <w:rsid w:val="00D2716D"/>
    <w:rsid w:val="00D27A2A"/>
    <w:rsid w:val="00D36F72"/>
    <w:rsid w:val="00D50442"/>
    <w:rsid w:val="00D5266C"/>
    <w:rsid w:val="00DB56C8"/>
    <w:rsid w:val="00DD33F7"/>
    <w:rsid w:val="00DD3497"/>
    <w:rsid w:val="00DF34A9"/>
    <w:rsid w:val="00E060CB"/>
    <w:rsid w:val="00E16F49"/>
    <w:rsid w:val="00E31A44"/>
    <w:rsid w:val="00E52A9E"/>
    <w:rsid w:val="00E56E04"/>
    <w:rsid w:val="00E65BDE"/>
    <w:rsid w:val="00E70CB0"/>
    <w:rsid w:val="00E82A71"/>
    <w:rsid w:val="00E94E1A"/>
    <w:rsid w:val="00EA591F"/>
    <w:rsid w:val="00EB0662"/>
    <w:rsid w:val="00EB6A60"/>
    <w:rsid w:val="00EC0BDE"/>
    <w:rsid w:val="00EC414A"/>
    <w:rsid w:val="00EC55BE"/>
    <w:rsid w:val="00EC750E"/>
    <w:rsid w:val="00ED33C3"/>
    <w:rsid w:val="00EE3956"/>
    <w:rsid w:val="00EF1E94"/>
    <w:rsid w:val="00F14704"/>
    <w:rsid w:val="00F22A71"/>
    <w:rsid w:val="00F252AD"/>
    <w:rsid w:val="00F37DE1"/>
    <w:rsid w:val="00F57DC7"/>
    <w:rsid w:val="00F6661D"/>
    <w:rsid w:val="00F76D59"/>
    <w:rsid w:val="00F90B46"/>
    <w:rsid w:val="00FA7E22"/>
    <w:rsid w:val="00FB0FB0"/>
    <w:rsid w:val="00FD6DE1"/>
    <w:rsid w:val="00FD7D7E"/>
    <w:rsid w:val="00F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058F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22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1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  <w:style w:type="character" w:customStyle="1" w:styleId="Nagwek1Znak">
    <w:name w:val="Nagłówek 1 Znak"/>
    <w:basedOn w:val="Domylnaczcionkaakapitu"/>
    <w:link w:val="Nagwek1"/>
    <w:rsid w:val="002058F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1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22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FF2AA-ABC3-4051-8844-F8E837D9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3586</Words>
  <Characters>21517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31</cp:revision>
  <cp:lastPrinted>2015-11-06T14:08:00Z</cp:lastPrinted>
  <dcterms:created xsi:type="dcterms:W3CDTF">2015-12-10T07:29:00Z</dcterms:created>
  <dcterms:modified xsi:type="dcterms:W3CDTF">2017-12-10T13:36:00Z</dcterms:modified>
</cp:coreProperties>
</file>